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8B" w:rsidRDefault="005F718B" w:rsidP="006C6405">
      <w:pPr>
        <w:spacing w:before="240" w:after="60" w:line="240" w:lineRule="auto"/>
        <w:jc w:val="center"/>
        <w:outlineLvl w:val="0"/>
        <w:rPr>
          <w:rFonts w:ascii="Calibri" w:eastAsia="Times New Roman" w:hAnsi="Calibri" w:cs="Times New Roman"/>
          <w:b/>
          <w:bCs/>
          <w:kern w:val="28"/>
          <w:sz w:val="40"/>
          <w:szCs w:val="40"/>
        </w:rPr>
      </w:pPr>
      <w:bookmarkStart w:id="0" w:name="_GoBack"/>
      <w:bookmarkEnd w:id="0"/>
    </w:p>
    <w:p w:rsidR="005F718B" w:rsidRDefault="005F718B" w:rsidP="006C6405">
      <w:pPr>
        <w:spacing w:before="240" w:after="60" w:line="240" w:lineRule="auto"/>
        <w:jc w:val="center"/>
        <w:outlineLvl w:val="0"/>
        <w:rPr>
          <w:rFonts w:ascii="Calibri" w:eastAsia="Times New Roman" w:hAnsi="Calibri" w:cs="Times New Roman"/>
          <w:b/>
          <w:bCs/>
          <w:kern w:val="28"/>
          <w:sz w:val="40"/>
          <w:szCs w:val="40"/>
        </w:rPr>
      </w:pPr>
    </w:p>
    <w:p w:rsidR="005F718B" w:rsidRDefault="005F718B" w:rsidP="006C6405">
      <w:pPr>
        <w:spacing w:before="240" w:after="60" w:line="240" w:lineRule="auto"/>
        <w:jc w:val="center"/>
        <w:outlineLvl w:val="0"/>
        <w:rPr>
          <w:rFonts w:ascii="Calibri" w:eastAsia="Times New Roman" w:hAnsi="Calibri" w:cs="Times New Roman"/>
          <w:b/>
          <w:bCs/>
          <w:kern w:val="28"/>
          <w:sz w:val="40"/>
          <w:szCs w:val="40"/>
        </w:rPr>
      </w:pPr>
    </w:p>
    <w:p w:rsidR="000D71D5" w:rsidRDefault="0001668A" w:rsidP="006C6405">
      <w:pPr>
        <w:spacing w:before="240" w:after="60" w:line="240" w:lineRule="auto"/>
        <w:jc w:val="center"/>
        <w:outlineLvl w:val="0"/>
        <w:rPr>
          <w:rFonts w:ascii="Calibri" w:eastAsia="Times New Roman" w:hAnsi="Calibri" w:cs="Times New Roman"/>
          <w:b/>
          <w:bCs/>
          <w:kern w:val="28"/>
          <w:sz w:val="40"/>
          <w:szCs w:val="40"/>
        </w:rPr>
      </w:pPr>
      <w:r>
        <w:rPr>
          <w:rFonts w:ascii="Calibri" w:eastAsia="Times New Roman" w:hAnsi="Calibri" w:cs="Times New Roman"/>
          <w:b/>
          <w:bCs/>
          <w:noProof/>
          <w:kern w:val="28"/>
          <w:sz w:val="40"/>
          <w:szCs w:val="40"/>
        </w:rPr>
        <w:drawing>
          <wp:inline distT="0" distB="0" distL="0" distR="0" wp14:anchorId="4D2DAAD9" wp14:editId="6C001428">
            <wp:extent cx="330517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01.jpg"/>
                    <pic:cNvPicPr/>
                  </pic:nvPicPr>
                  <pic:blipFill>
                    <a:blip r:embed="rId6">
                      <a:extLst>
                        <a:ext uri="{28A0092B-C50C-407E-A947-70E740481C1C}">
                          <a14:useLocalDpi xmlns:a14="http://schemas.microsoft.com/office/drawing/2010/main" val="0"/>
                        </a:ext>
                      </a:extLst>
                    </a:blip>
                    <a:stretch>
                      <a:fillRect/>
                    </a:stretch>
                  </pic:blipFill>
                  <pic:spPr>
                    <a:xfrm>
                      <a:off x="0" y="0"/>
                      <a:ext cx="3303791" cy="2980077"/>
                    </a:xfrm>
                    <a:prstGeom prst="rect">
                      <a:avLst/>
                    </a:prstGeom>
                  </pic:spPr>
                </pic:pic>
              </a:graphicData>
            </a:graphic>
          </wp:inline>
        </w:drawing>
      </w:r>
    </w:p>
    <w:p w:rsidR="000D71D5" w:rsidRDefault="000D71D5" w:rsidP="006C6405">
      <w:pPr>
        <w:spacing w:before="240" w:after="60" w:line="240" w:lineRule="auto"/>
        <w:jc w:val="center"/>
        <w:outlineLvl w:val="0"/>
        <w:rPr>
          <w:rFonts w:ascii="Calibri" w:eastAsia="Times New Roman" w:hAnsi="Calibri" w:cs="Times New Roman"/>
          <w:b/>
          <w:bCs/>
          <w:kern w:val="28"/>
          <w:sz w:val="40"/>
          <w:szCs w:val="40"/>
        </w:rPr>
      </w:pPr>
    </w:p>
    <w:p w:rsidR="000D71D5" w:rsidRPr="000D71D5" w:rsidRDefault="000D71D5" w:rsidP="006C6405">
      <w:pPr>
        <w:spacing w:before="240" w:after="60" w:line="240" w:lineRule="auto"/>
        <w:jc w:val="center"/>
        <w:outlineLvl w:val="0"/>
        <w:rPr>
          <w:rFonts w:ascii="Calibri" w:eastAsia="Times New Roman" w:hAnsi="Calibri" w:cs="Times New Roman"/>
          <w:b/>
          <w:bCs/>
          <w:kern w:val="28"/>
          <w:sz w:val="40"/>
          <w:szCs w:val="40"/>
        </w:rPr>
      </w:pPr>
      <w:r w:rsidRPr="000D71D5">
        <w:rPr>
          <w:rFonts w:ascii="Calibri" w:eastAsia="Times New Roman" w:hAnsi="Calibri" w:cs="Times New Roman"/>
          <w:b/>
          <w:bCs/>
          <w:kern w:val="28"/>
          <w:sz w:val="40"/>
          <w:szCs w:val="40"/>
        </w:rPr>
        <w:t>Anderson-Cherokee Community Enrichment Services (ACCESS)</w:t>
      </w:r>
    </w:p>
    <w:p w:rsidR="006C6405" w:rsidRPr="000D71D5" w:rsidRDefault="006C6405" w:rsidP="006C6405">
      <w:pPr>
        <w:spacing w:before="240" w:after="60" w:line="240" w:lineRule="auto"/>
        <w:jc w:val="center"/>
        <w:outlineLvl w:val="0"/>
        <w:rPr>
          <w:rFonts w:ascii="Calibri" w:eastAsia="Times New Roman" w:hAnsi="Calibri" w:cs="Times New Roman"/>
          <w:b/>
          <w:bCs/>
          <w:kern w:val="28"/>
          <w:sz w:val="40"/>
          <w:szCs w:val="40"/>
        </w:rPr>
      </w:pPr>
      <w:r w:rsidRPr="000D71D5">
        <w:rPr>
          <w:rFonts w:ascii="Calibri" w:eastAsia="Times New Roman" w:hAnsi="Calibri" w:cs="Times New Roman"/>
          <w:b/>
          <w:bCs/>
          <w:kern w:val="28"/>
          <w:sz w:val="40"/>
          <w:szCs w:val="40"/>
        </w:rPr>
        <w:t xml:space="preserve">2016 Provider Network Development Plan </w:t>
      </w:r>
    </w:p>
    <w:p w:rsidR="006C6405" w:rsidRPr="006C6405" w:rsidRDefault="006C6405" w:rsidP="006C6405">
      <w:pPr>
        <w:keepNext/>
        <w:spacing w:before="240" w:after="60" w:line="240" w:lineRule="auto"/>
        <w:outlineLvl w:val="0"/>
        <w:rPr>
          <w:rFonts w:ascii="Calibri Light" w:eastAsia="Times New Roman" w:hAnsi="Calibri Light" w:cs="Times New Roman"/>
          <w:b/>
          <w:bCs/>
          <w:kern w:val="32"/>
          <w:sz w:val="48"/>
          <w:szCs w:val="32"/>
        </w:rPr>
      </w:pPr>
      <w:r w:rsidRPr="006C6405">
        <w:rPr>
          <w:rFonts w:ascii="Calibri Light" w:eastAsia="Times New Roman" w:hAnsi="Calibri Light" w:cs="Times New Roman"/>
          <w:b/>
          <w:bCs/>
          <w:kern w:val="32"/>
          <w:sz w:val="48"/>
          <w:szCs w:val="32"/>
        </w:rPr>
        <w:br w:type="page"/>
      </w:r>
      <w:r w:rsidRPr="006C6405">
        <w:rPr>
          <w:rFonts w:ascii="Calibri Light" w:eastAsia="Times New Roman" w:hAnsi="Calibri Light" w:cs="Times New Roman"/>
          <w:b/>
          <w:bCs/>
          <w:kern w:val="32"/>
          <w:sz w:val="48"/>
          <w:szCs w:val="32"/>
        </w:rPr>
        <w:lastRenderedPageBreak/>
        <w:t>PART I:  Required for all LMHAs</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keepNext/>
        <w:shd w:val="clear" w:color="auto" w:fill="D9D9D9"/>
        <w:spacing w:before="240" w:after="60" w:line="240" w:lineRule="auto"/>
        <w:outlineLvl w:val="1"/>
        <w:rPr>
          <w:rFonts w:ascii="Arial" w:eastAsia="Times New Roman" w:hAnsi="Arial" w:cs="Arial"/>
          <w:b/>
          <w:bCs/>
          <w:i/>
          <w:iCs/>
          <w:sz w:val="28"/>
          <w:szCs w:val="28"/>
        </w:rPr>
      </w:pPr>
      <w:r w:rsidRPr="006C6405">
        <w:rPr>
          <w:rFonts w:ascii="Arial" w:eastAsia="Times New Roman" w:hAnsi="Arial" w:cs="Arial"/>
          <w:b/>
          <w:bCs/>
          <w:i/>
          <w:iCs/>
          <w:sz w:val="28"/>
          <w:szCs w:val="28"/>
        </w:rPr>
        <w:t xml:space="preserve">Local Service Area </w:t>
      </w:r>
      <w:r w:rsidRPr="006C6405">
        <w:rPr>
          <w:rFonts w:ascii="Arial" w:eastAsia="Times New Roman" w:hAnsi="Arial" w:cs="Arial"/>
          <w:b/>
          <w:bCs/>
          <w:i/>
          <w:iCs/>
          <w:sz w:val="28"/>
          <w:szCs w:val="28"/>
        </w:rPr>
        <w:tab/>
      </w: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Provide the following information about your local service area. Most of the data for this section can be accessed from the following reports in MBOW, using data from the following report:  </w:t>
      </w:r>
      <w:r w:rsidRPr="006C6405">
        <w:rPr>
          <w:rFonts w:ascii="Times New Roman" w:eastAsia="Times New Roman" w:hAnsi="Times New Roman" w:cs="Times New Roman"/>
          <w:i/>
          <w:iCs/>
          <w:sz w:val="24"/>
          <w:szCs w:val="20"/>
        </w:rPr>
        <w:t xml:space="preserve">2014 LMHA Area and Population Stats (in the General Warehouse folder). </w:t>
      </w:r>
    </w:p>
    <w:p w:rsidR="006C6405" w:rsidRPr="006C6405" w:rsidRDefault="006C6405" w:rsidP="006C6405">
      <w:pPr>
        <w:spacing w:after="0" w:line="240" w:lineRule="auto"/>
        <w:rPr>
          <w:rFonts w:ascii="Times New Roman" w:eastAsia="Times New Roman" w:hAnsi="Times New Roman" w:cs="Times New Roman"/>
          <w:i/>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960"/>
        <w:gridCol w:w="2880"/>
      </w:tblGrid>
      <w:tr w:rsidR="006C6405" w:rsidRPr="006C6405" w:rsidTr="000D71D5">
        <w:tc>
          <w:tcPr>
            <w:tcW w:w="3888"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Population</w:t>
            </w:r>
          </w:p>
        </w:tc>
        <w:tc>
          <w:tcPr>
            <w:tcW w:w="234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108,529</w:t>
            </w:r>
          </w:p>
        </w:tc>
        <w:tc>
          <w:tcPr>
            <w:tcW w:w="3960" w:type="dxa"/>
            <w:shd w:val="clear" w:color="auto" w:fill="F2F2F2"/>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 xml:space="preserve">Number of counties (total)  </w:t>
            </w:r>
          </w:p>
        </w:tc>
        <w:tc>
          <w:tcPr>
            <w:tcW w:w="28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2</w:t>
            </w:r>
          </w:p>
        </w:tc>
      </w:tr>
      <w:tr w:rsidR="006C6405" w:rsidRPr="006C6405" w:rsidTr="000D71D5">
        <w:tc>
          <w:tcPr>
            <w:tcW w:w="3888"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Square miles</w:t>
            </w:r>
            <w:r w:rsidRPr="006C6405">
              <w:rPr>
                <w:rFonts w:ascii="Times New Roman" w:eastAsia="Times New Roman" w:hAnsi="Times New Roman" w:cs="Times New Roman"/>
                <w:b/>
                <w:sz w:val="24"/>
                <w:szCs w:val="20"/>
              </w:rPr>
              <w:tab/>
            </w:r>
          </w:p>
        </w:tc>
        <w:tc>
          <w:tcPr>
            <w:tcW w:w="234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2,115.51</w:t>
            </w:r>
          </w:p>
        </w:tc>
        <w:tc>
          <w:tcPr>
            <w:tcW w:w="3960" w:type="dxa"/>
            <w:shd w:val="clear" w:color="auto" w:fill="F2F2F2"/>
          </w:tcPr>
          <w:p w:rsidR="006C6405" w:rsidRPr="006C6405" w:rsidRDefault="006C6405" w:rsidP="006C6405">
            <w:pPr>
              <w:numPr>
                <w:ilvl w:val="0"/>
                <w:numId w:val="3"/>
              </w:num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 xml:space="preserve">Number of urban counties </w:t>
            </w:r>
            <w:r w:rsidRPr="006C6405">
              <w:rPr>
                <w:rFonts w:ascii="Times New Roman" w:eastAsia="Times New Roman" w:hAnsi="Times New Roman" w:cs="Times New Roman"/>
                <w:b/>
                <w:sz w:val="24"/>
                <w:szCs w:val="20"/>
              </w:rPr>
              <w:tab/>
            </w:r>
          </w:p>
        </w:tc>
        <w:tc>
          <w:tcPr>
            <w:tcW w:w="28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None</w:t>
            </w:r>
          </w:p>
        </w:tc>
      </w:tr>
      <w:tr w:rsidR="006C6405" w:rsidRPr="006C6405" w:rsidTr="000D71D5">
        <w:tc>
          <w:tcPr>
            <w:tcW w:w="3888"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Population density</w:t>
            </w:r>
          </w:p>
        </w:tc>
        <w:tc>
          <w:tcPr>
            <w:tcW w:w="234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51</w:t>
            </w:r>
          </w:p>
        </w:tc>
        <w:tc>
          <w:tcPr>
            <w:tcW w:w="3960" w:type="dxa"/>
            <w:shd w:val="clear" w:color="auto" w:fill="F2F2F2"/>
          </w:tcPr>
          <w:p w:rsidR="006C6405" w:rsidRPr="006C6405" w:rsidRDefault="006C6405" w:rsidP="006C6405">
            <w:pPr>
              <w:numPr>
                <w:ilvl w:val="0"/>
                <w:numId w:val="3"/>
              </w:num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 xml:space="preserve">Number of rural counties </w:t>
            </w:r>
            <w:r w:rsidRPr="006C6405">
              <w:rPr>
                <w:rFonts w:ascii="Times New Roman" w:eastAsia="Times New Roman" w:hAnsi="Times New Roman" w:cs="Times New Roman"/>
                <w:b/>
                <w:sz w:val="24"/>
                <w:szCs w:val="20"/>
              </w:rPr>
              <w:tab/>
            </w:r>
          </w:p>
        </w:tc>
        <w:tc>
          <w:tcPr>
            <w:tcW w:w="288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2</w:t>
            </w:r>
          </w:p>
        </w:tc>
      </w:tr>
    </w:tbl>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b/>
      </w:r>
    </w:p>
    <w:p w:rsidR="006C6405" w:rsidRPr="006C6405" w:rsidRDefault="006C6405" w:rsidP="006C6405">
      <w:pPr>
        <w:spacing w:after="60" w:line="240" w:lineRule="auto"/>
        <w:rPr>
          <w:rFonts w:ascii="Times New Roman" w:eastAsia="Times New Roman" w:hAnsi="Times New Roman" w:cs="Times New Roman"/>
          <w:i/>
          <w:sz w:val="24"/>
          <w:szCs w:val="20"/>
        </w:rPr>
      </w:pPr>
    </w:p>
    <w:p w:rsidR="006C6405" w:rsidRPr="006C6405" w:rsidRDefault="006C6405" w:rsidP="006C6405">
      <w:pPr>
        <w:spacing w:after="6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Major </w:t>
      </w:r>
      <w:proofErr w:type="gramStart"/>
      <w:r w:rsidRPr="006C6405">
        <w:rPr>
          <w:rFonts w:ascii="Times New Roman" w:eastAsia="Times New Roman" w:hAnsi="Times New Roman" w:cs="Times New Roman"/>
          <w:i/>
          <w:sz w:val="24"/>
          <w:szCs w:val="20"/>
        </w:rPr>
        <w:t>populations</w:t>
      </w:r>
      <w:proofErr w:type="gramEnd"/>
      <w:r w:rsidRPr="006C6405">
        <w:rPr>
          <w:rFonts w:ascii="Times New Roman" w:eastAsia="Times New Roman" w:hAnsi="Times New Roman" w:cs="Times New Roman"/>
          <w:i/>
          <w:sz w:val="24"/>
          <w:szCs w:val="20"/>
        </w:rPr>
        <w:t xml:space="preserve"> centers (add additional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324"/>
        <w:gridCol w:w="1560"/>
        <w:gridCol w:w="1569"/>
        <w:gridCol w:w="1505"/>
        <w:gridCol w:w="1877"/>
      </w:tblGrid>
      <w:tr w:rsidR="006C6405" w:rsidRPr="006C6405" w:rsidTr="000D71D5">
        <w:tc>
          <w:tcPr>
            <w:tcW w:w="3233"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Name of City</w:t>
            </w:r>
          </w:p>
        </w:tc>
        <w:tc>
          <w:tcPr>
            <w:tcW w:w="3324"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Name of County</w:t>
            </w:r>
          </w:p>
        </w:tc>
        <w:tc>
          <w:tcPr>
            <w:tcW w:w="1560"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 xml:space="preserve"> City Population </w:t>
            </w:r>
          </w:p>
        </w:tc>
        <w:tc>
          <w:tcPr>
            <w:tcW w:w="1569"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smartTag w:uri="urn:schemas-microsoft-com:office:smarttags" w:element="place">
              <w:smartTag w:uri="urn:schemas-microsoft-com:office:smarttags" w:element="PlaceType">
                <w:r w:rsidRPr="006C6405">
                  <w:rPr>
                    <w:rFonts w:ascii="Times New Roman" w:eastAsia="Times New Roman" w:hAnsi="Times New Roman" w:cs="Times New Roman"/>
                    <w:b/>
                    <w:sz w:val="24"/>
                    <w:szCs w:val="20"/>
                  </w:rPr>
                  <w:t>County</w:t>
                </w:r>
              </w:smartTag>
              <w:r w:rsidRPr="006C6405">
                <w:rPr>
                  <w:rFonts w:ascii="Times New Roman" w:eastAsia="Times New Roman" w:hAnsi="Times New Roman" w:cs="Times New Roman"/>
                  <w:b/>
                  <w:sz w:val="24"/>
                  <w:szCs w:val="20"/>
                </w:rPr>
                <w:t xml:space="preserve"> </w:t>
              </w:r>
              <w:smartTag w:uri="urn:schemas-microsoft-com:office:smarttags" w:element="PlaceName">
                <w:r w:rsidRPr="006C6405">
                  <w:rPr>
                    <w:rFonts w:ascii="Times New Roman" w:eastAsia="Times New Roman" w:hAnsi="Times New Roman" w:cs="Times New Roman"/>
                    <w:b/>
                    <w:sz w:val="24"/>
                    <w:szCs w:val="20"/>
                  </w:rPr>
                  <w:t>Population</w:t>
                </w:r>
              </w:smartTag>
            </w:smartTag>
          </w:p>
        </w:tc>
        <w:tc>
          <w:tcPr>
            <w:tcW w:w="1505"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smartTag w:uri="urn:schemas-microsoft-com:office:smarttags" w:element="place">
              <w:smartTag w:uri="urn:schemas-microsoft-com:office:smarttags" w:element="PlaceType">
                <w:r w:rsidRPr="006C6405">
                  <w:rPr>
                    <w:rFonts w:ascii="Times New Roman" w:eastAsia="Times New Roman" w:hAnsi="Times New Roman" w:cs="Times New Roman"/>
                    <w:b/>
                    <w:sz w:val="24"/>
                    <w:szCs w:val="20"/>
                  </w:rPr>
                  <w:t>County</w:t>
                </w:r>
              </w:smartTag>
              <w:r w:rsidRPr="006C6405">
                <w:rPr>
                  <w:rFonts w:ascii="Times New Roman" w:eastAsia="Times New Roman" w:hAnsi="Times New Roman" w:cs="Times New Roman"/>
                  <w:b/>
                  <w:sz w:val="24"/>
                  <w:szCs w:val="20"/>
                </w:rPr>
                <w:t xml:space="preserve"> </w:t>
              </w:r>
              <w:smartTag w:uri="urn:schemas-microsoft-com:office:smarttags" w:element="PlaceName">
                <w:r w:rsidRPr="006C6405">
                  <w:rPr>
                    <w:rFonts w:ascii="Times New Roman" w:eastAsia="Times New Roman" w:hAnsi="Times New Roman" w:cs="Times New Roman"/>
                    <w:b/>
                    <w:sz w:val="24"/>
                    <w:szCs w:val="20"/>
                  </w:rPr>
                  <w:t>Population</w:t>
                </w:r>
              </w:smartTag>
            </w:smartTag>
            <w:r w:rsidRPr="006C6405">
              <w:rPr>
                <w:rFonts w:ascii="Times New Roman" w:eastAsia="Times New Roman" w:hAnsi="Times New Roman" w:cs="Times New Roman"/>
                <w:b/>
                <w:sz w:val="24"/>
                <w:szCs w:val="20"/>
              </w:rPr>
              <w:t xml:space="preserve"> Density</w:t>
            </w:r>
          </w:p>
        </w:tc>
        <w:tc>
          <w:tcPr>
            <w:tcW w:w="1877"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 xml:space="preserve">County Percent of Total Population </w:t>
            </w:r>
          </w:p>
        </w:tc>
      </w:tr>
      <w:tr w:rsidR="006C6405" w:rsidRPr="006C6405" w:rsidTr="000D71D5">
        <w:tc>
          <w:tcPr>
            <w:tcW w:w="3233"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Jacksonville</w:t>
            </w:r>
          </w:p>
        </w:tc>
        <w:tc>
          <w:tcPr>
            <w:tcW w:w="332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Cherokee</w:t>
            </w:r>
          </w:p>
        </w:tc>
        <w:tc>
          <w:tcPr>
            <w:tcW w:w="15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14,544</w:t>
            </w:r>
          </w:p>
        </w:tc>
        <w:tc>
          <w:tcPr>
            <w:tcW w:w="1569"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50,902</w:t>
            </w:r>
          </w:p>
        </w:tc>
        <w:tc>
          <w:tcPr>
            <w:tcW w:w="1505"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48</w:t>
            </w:r>
          </w:p>
        </w:tc>
        <w:tc>
          <w:tcPr>
            <w:tcW w:w="1877"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47%</w:t>
            </w:r>
          </w:p>
        </w:tc>
      </w:tr>
      <w:tr w:rsidR="006C6405" w:rsidRPr="006C6405" w:rsidTr="000D71D5">
        <w:tc>
          <w:tcPr>
            <w:tcW w:w="3233"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Palestine</w:t>
            </w:r>
          </w:p>
        </w:tc>
        <w:tc>
          <w:tcPr>
            <w:tcW w:w="332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Anderson</w:t>
            </w:r>
          </w:p>
        </w:tc>
        <w:tc>
          <w:tcPr>
            <w:tcW w:w="15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18,712</w:t>
            </w:r>
          </w:p>
        </w:tc>
        <w:tc>
          <w:tcPr>
            <w:tcW w:w="1569"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57,627</w:t>
            </w:r>
          </w:p>
        </w:tc>
        <w:tc>
          <w:tcPr>
            <w:tcW w:w="1505"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54</w:t>
            </w:r>
          </w:p>
        </w:tc>
        <w:tc>
          <w:tcPr>
            <w:tcW w:w="1877"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53%</w:t>
            </w:r>
          </w:p>
        </w:tc>
      </w:tr>
      <w:tr w:rsidR="006C6405" w:rsidRPr="006C6405" w:rsidTr="000D71D5">
        <w:tc>
          <w:tcPr>
            <w:tcW w:w="3233"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332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5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569"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505"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877"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r w:rsidR="006C6405" w:rsidRPr="006C6405" w:rsidTr="000D71D5">
        <w:tc>
          <w:tcPr>
            <w:tcW w:w="3233"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332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5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569"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505"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877"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bl>
    <w:p w:rsidR="006C6405" w:rsidRPr="006C6405" w:rsidRDefault="006C6405" w:rsidP="006C6405">
      <w:pPr>
        <w:spacing w:after="0" w:line="240" w:lineRule="auto"/>
        <w:ind w:left="360" w:hanging="360"/>
        <w:rPr>
          <w:rFonts w:ascii="Times New Roman" w:eastAsia="Times New Roman" w:hAnsi="Times New Roman" w:cs="Times New Roman"/>
          <w:sz w:val="24"/>
          <w:szCs w:val="20"/>
        </w:rPr>
      </w:pPr>
    </w:p>
    <w:p w:rsidR="006C6405" w:rsidRPr="006C6405" w:rsidRDefault="006C6405" w:rsidP="006C6405">
      <w:pPr>
        <w:spacing w:after="0" w:line="240" w:lineRule="auto"/>
        <w:ind w:left="360" w:hanging="360"/>
        <w:rPr>
          <w:rFonts w:ascii="Times New Roman" w:eastAsia="Times New Roman" w:hAnsi="Times New Roman" w:cs="Times New Roman"/>
          <w:sz w:val="24"/>
          <w:szCs w:val="20"/>
        </w:rPr>
      </w:pPr>
    </w:p>
    <w:p w:rsidR="006C6405" w:rsidRPr="006C6405" w:rsidRDefault="006C6405" w:rsidP="006C6405">
      <w:pPr>
        <w:spacing w:after="0" w:line="240" w:lineRule="auto"/>
        <w:ind w:left="360" w:hanging="360"/>
        <w:rPr>
          <w:rFonts w:ascii="Times New Roman" w:eastAsia="Times New Roman" w:hAnsi="Times New Roman" w:cs="Times New Roman"/>
          <w:sz w:val="24"/>
          <w:szCs w:val="20"/>
        </w:rPr>
      </w:pPr>
    </w:p>
    <w:p w:rsidR="006C6405" w:rsidRPr="006C6405" w:rsidRDefault="006C6405" w:rsidP="006C6405">
      <w:pPr>
        <w:keepNext/>
        <w:shd w:val="clear" w:color="auto" w:fill="CCCCCC"/>
        <w:tabs>
          <w:tab w:val="left" w:pos="3420"/>
        </w:tabs>
        <w:spacing w:before="240" w:after="60" w:line="240" w:lineRule="auto"/>
        <w:ind w:right="630"/>
        <w:outlineLvl w:val="1"/>
        <w:rPr>
          <w:rFonts w:ascii="Arial" w:eastAsia="Times New Roman" w:hAnsi="Arial" w:cs="Arial"/>
          <w:b/>
          <w:bCs/>
          <w:i/>
          <w:iCs/>
          <w:sz w:val="28"/>
          <w:szCs w:val="28"/>
        </w:rPr>
      </w:pPr>
      <w:r w:rsidRPr="006C6405">
        <w:rPr>
          <w:rFonts w:ascii="Arial" w:eastAsia="Times New Roman" w:hAnsi="Arial" w:cs="Arial"/>
          <w:b/>
          <w:bCs/>
          <w:i/>
          <w:iCs/>
          <w:sz w:val="28"/>
          <w:szCs w:val="28"/>
        </w:rPr>
        <w:lastRenderedPageBreak/>
        <w:t>Current Services and Contracts</w:t>
      </w:r>
    </w:p>
    <w:p w:rsidR="006C6405" w:rsidRPr="006C6405" w:rsidRDefault="006C6405" w:rsidP="006C6405">
      <w:pPr>
        <w:numPr>
          <w:ilvl w:val="0"/>
          <w:numId w:val="1"/>
        </w:numPr>
        <w:spacing w:after="0" w:line="240" w:lineRule="auto"/>
        <w:ind w:right="630"/>
        <w:rPr>
          <w:rFonts w:ascii="Times New Roman" w:eastAsia="Times New Roman" w:hAnsi="Times New Roman" w:cs="Times New Roman"/>
          <w:sz w:val="24"/>
          <w:szCs w:val="20"/>
        </w:rPr>
      </w:pPr>
      <w:r w:rsidRPr="006C6405">
        <w:rPr>
          <w:rFonts w:ascii="Times New Roman" w:eastAsia="Times New Roman" w:hAnsi="Times New Roman" w:cs="Times New Roman"/>
          <w:i/>
          <w:sz w:val="24"/>
          <w:szCs w:val="20"/>
        </w:rPr>
        <w:t>Complete the table below to provide an overview of current services and contracts. Insert additional rows as needed within each section.</w:t>
      </w: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List the service capacity based on FY 2015 data.  </w:t>
      </w:r>
    </w:p>
    <w:p w:rsidR="006C6405" w:rsidRPr="006C6405" w:rsidRDefault="006C6405" w:rsidP="006C6405">
      <w:pPr>
        <w:numPr>
          <w:ilvl w:val="1"/>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For Levels of Care, list the non-Medicaid average monthly served. (Note: This information can be found in MBOW, using data from the following report</w:t>
      </w:r>
      <w:r w:rsidRPr="006C6405">
        <w:rPr>
          <w:rFonts w:ascii="Times New Roman" w:eastAsia="Times New Roman" w:hAnsi="Times New Roman" w:cs="Times New Roman"/>
          <w:i/>
          <w:iCs/>
          <w:sz w:val="24"/>
          <w:szCs w:val="20"/>
        </w:rPr>
        <w:t xml:space="preserve"> in the General Warehouse folder</w:t>
      </w:r>
      <w:r w:rsidRPr="006C6405">
        <w:rPr>
          <w:rFonts w:ascii="Times New Roman" w:eastAsia="Times New Roman" w:hAnsi="Times New Roman" w:cs="Times New Roman"/>
          <w:i/>
          <w:sz w:val="24"/>
          <w:szCs w:val="20"/>
        </w:rPr>
        <w:t xml:space="preserve">:  </w:t>
      </w:r>
      <w:r w:rsidRPr="006C6405">
        <w:rPr>
          <w:rFonts w:ascii="Times New Roman" w:eastAsia="Times New Roman" w:hAnsi="Times New Roman" w:cs="Times New Roman"/>
          <w:i/>
          <w:iCs/>
          <w:sz w:val="24"/>
          <w:szCs w:val="20"/>
        </w:rPr>
        <w:t xml:space="preserve">LOC-A by Center (Non-Medicaid Only and All Clients). </w:t>
      </w:r>
    </w:p>
    <w:p w:rsidR="006C6405" w:rsidRPr="006C6405" w:rsidRDefault="006C6405" w:rsidP="006C6405">
      <w:pPr>
        <w:numPr>
          <w:ilvl w:val="1"/>
          <w:numId w:val="1"/>
        </w:numPr>
        <w:spacing w:after="0" w:line="240" w:lineRule="auto"/>
        <w:ind w:right="630"/>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 For residential programs, list the total number of beds and total discharges (all clients). </w:t>
      </w:r>
    </w:p>
    <w:p w:rsidR="006C6405" w:rsidRPr="006C6405" w:rsidRDefault="006C6405" w:rsidP="006C6405">
      <w:pPr>
        <w:numPr>
          <w:ilvl w:val="1"/>
          <w:numId w:val="1"/>
        </w:numPr>
        <w:spacing w:after="0" w:line="240" w:lineRule="auto"/>
        <w:ind w:right="630"/>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For other services, identity the unit of service (all clients).</w:t>
      </w:r>
    </w:p>
    <w:p w:rsidR="006C6405" w:rsidRPr="006C6405" w:rsidRDefault="006C6405" w:rsidP="006C6405">
      <w:pPr>
        <w:numPr>
          <w:ilvl w:val="1"/>
          <w:numId w:val="1"/>
        </w:numPr>
        <w:spacing w:after="0" w:line="240" w:lineRule="auto"/>
        <w:ind w:right="630"/>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Estimate the FY 2016 service capacity.  If no change is anticipated, enter the same information as Column A.</w:t>
      </w:r>
    </w:p>
    <w:p w:rsidR="006C6405" w:rsidRPr="006C6405" w:rsidRDefault="006C6405" w:rsidP="006C6405">
      <w:pPr>
        <w:numPr>
          <w:ilvl w:val="1"/>
          <w:numId w:val="1"/>
        </w:numPr>
        <w:spacing w:after="0" w:line="240" w:lineRule="auto"/>
        <w:ind w:right="630"/>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State the total percent of each service contracted out to external providers in 2015.  In the sections for Complete Levels of Care, do not include contracts for discrete services within those levels of care when calculating percentages. </w:t>
      </w:r>
    </w:p>
    <w:p w:rsidR="006C6405" w:rsidRPr="006C6405" w:rsidRDefault="006C6405" w:rsidP="006C6405">
      <w:pPr>
        <w:spacing w:after="0" w:line="240" w:lineRule="auto"/>
        <w:ind w:left="360" w:hanging="360"/>
        <w:rPr>
          <w:rFonts w:ascii="Times New Roman" w:eastAsia="Times New Roman" w:hAnsi="Times New Roman" w:cs="Times New Roman"/>
          <w:sz w:val="24"/>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250"/>
      </w:tblGrid>
      <w:tr w:rsidR="006C6405" w:rsidRPr="006C6405" w:rsidTr="000D71D5">
        <w:tc>
          <w:tcPr>
            <w:tcW w:w="5130" w:type="dxa"/>
            <w:tcBorders>
              <w:top w:val="double" w:sz="4" w:space="0" w:color="auto"/>
              <w:bottom w:val="double" w:sz="4" w:space="0" w:color="auto"/>
            </w:tcBorders>
            <w:shd w:val="clear" w:color="auto" w:fill="E6E6E6"/>
          </w:tcPr>
          <w:p w:rsidR="006C6405" w:rsidRPr="006C6405" w:rsidRDefault="006C6405" w:rsidP="006C6405">
            <w:pPr>
              <w:spacing w:before="20" w:afterLines="20" w:after="48" w:line="240" w:lineRule="auto"/>
              <w:rPr>
                <w:rFonts w:ascii="Times New Roman" w:eastAsia="Times New Roman" w:hAnsi="Times New Roman" w:cs="Times New Roman"/>
                <w:b/>
                <w:sz w:val="20"/>
                <w:szCs w:val="18"/>
              </w:rPr>
            </w:pPr>
          </w:p>
        </w:tc>
        <w:tc>
          <w:tcPr>
            <w:tcW w:w="1980" w:type="dxa"/>
            <w:tcBorders>
              <w:top w:val="double" w:sz="4" w:space="0" w:color="auto"/>
              <w:bottom w:val="double" w:sz="4" w:space="0" w:color="auto"/>
            </w:tcBorders>
            <w:shd w:val="clear" w:color="auto" w:fill="E6E6E6"/>
          </w:tcPr>
          <w:p w:rsidR="006C6405" w:rsidRPr="006C6405" w:rsidRDefault="006C6405" w:rsidP="006C6405">
            <w:pPr>
              <w:spacing w:after="0" w:line="240" w:lineRule="auto"/>
              <w:jc w:val="center"/>
              <w:rPr>
                <w:rFonts w:ascii="Times New Roman" w:eastAsia="Times New Roman" w:hAnsi="Times New Roman" w:cs="Times New Roman"/>
                <w:b/>
                <w:bCs/>
                <w:sz w:val="20"/>
                <w:szCs w:val="18"/>
              </w:rPr>
            </w:pPr>
            <w:r w:rsidRPr="006C6405">
              <w:rPr>
                <w:rFonts w:ascii="Times New Roman" w:eastAsia="Times New Roman" w:hAnsi="Times New Roman" w:cs="Times New Roman"/>
                <w:b/>
                <w:bCs/>
                <w:sz w:val="20"/>
                <w:szCs w:val="18"/>
              </w:rPr>
              <w:t>FY 2015 service capacity (non-Medicaid only)</w:t>
            </w:r>
          </w:p>
          <w:p w:rsidR="006C6405" w:rsidRPr="006C6405" w:rsidRDefault="006C6405" w:rsidP="006C6405">
            <w:pPr>
              <w:spacing w:after="0" w:line="240" w:lineRule="auto"/>
              <w:jc w:val="center"/>
              <w:rPr>
                <w:rFonts w:ascii="Times New Roman" w:eastAsia="Times New Roman" w:hAnsi="Times New Roman" w:cs="Times New Roman"/>
                <w:b/>
                <w:bCs/>
                <w:sz w:val="20"/>
                <w:szCs w:val="18"/>
              </w:rPr>
            </w:pPr>
          </w:p>
        </w:tc>
        <w:tc>
          <w:tcPr>
            <w:tcW w:w="2160" w:type="dxa"/>
            <w:tcBorders>
              <w:top w:val="double" w:sz="4" w:space="0" w:color="auto"/>
              <w:bottom w:val="double" w:sz="4" w:space="0" w:color="auto"/>
            </w:tcBorders>
            <w:shd w:val="clear" w:color="auto" w:fill="E6E6E6"/>
          </w:tcPr>
          <w:p w:rsidR="006C6405" w:rsidRPr="006C6405" w:rsidRDefault="006C6405" w:rsidP="006C6405">
            <w:pPr>
              <w:spacing w:before="20" w:afterLines="20" w:after="48" w:line="240" w:lineRule="auto"/>
              <w:jc w:val="center"/>
              <w:rPr>
                <w:rFonts w:ascii="Times New Roman" w:eastAsia="Times New Roman" w:hAnsi="Times New Roman" w:cs="Times New Roman"/>
                <w:b/>
                <w:sz w:val="20"/>
                <w:szCs w:val="18"/>
              </w:rPr>
            </w:pPr>
            <w:r w:rsidRPr="006C6405">
              <w:rPr>
                <w:rFonts w:ascii="Times New Roman" w:eastAsia="Times New Roman" w:hAnsi="Times New Roman" w:cs="Times New Roman"/>
                <w:b/>
                <w:sz w:val="20"/>
                <w:szCs w:val="18"/>
              </w:rPr>
              <w:t>Estimated FY 2016 service capacity (non-Medicaid only)</w:t>
            </w:r>
          </w:p>
        </w:tc>
        <w:tc>
          <w:tcPr>
            <w:tcW w:w="2250" w:type="dxa"/>
            <w:tcBorders>
              <w:top w:val="double" w:sz="4" w:space="0" w:color="auto"/>
              <w:bottom w:val="double" w:sz="4" w:space="0" w:color="auto"/>
            </w:tcBorders>
            <w:shd w:val="clear" w:color="auto" w:fill="E6E6E6"/>
          </w:tcPr>
          <w:p w:rsidR="006C6405" w:rsidRPr="006C6405" w:rsidRDefault="006C6405" w:rsidP="006C6405">
            <w:pPr>
              <w:spacing w:before="20" w:afterLines="20" w:after="48" w:line="240" w:lineRule="auto"/>
              <w:jc w:val="center"/>
              <w:rPr>
                <w:rFonts w:ascii="Times New Roman" w:eastAsia="Times New Roman" w:hAnsi="Times New Roman" w:cs="Times New Roman"/>
                <w:b/>
                <w:sz w:val="20"/>
                <w:szCs w:val="18"/>
              </w:rPr>
            </w:pPr>
            <w:r w:rsidRPr="006C6405">
              <w:rPr>
                <w:rFonts w:ascii="Times New Roman" w:eastAsia="Times New Roman" w:hAnsi="Times New Roman" w:cs="Times New Roman"/>
                <w:b/>
                <w:sz w:val="20"/>
                <w:szCs w:val="18"/>
              </w:rPr>
              <w:t>Percent total non-Medicaid capacity provided by external providers in FY 2015*</w:t>
            </w:r>
          </w:p>
        </w:tc>
      </w:tr>
      <w:tr w:rsidR="006C6405" w:rsidRPr="006C6405" w:rsidTr="000D71D5">
        <w:tc>
          <w:tcPr>
            <w:tcW w:w="5130" w:type="dxa"/>
            <w:tcBorders>
              <w:top w:val="double" w:sz="4" w:space="0" w:color="auto"/>
            </w:tcBorders>
            <w:shd w:val="clear" w:color="auto" w:fill="F3F3F3"/>
          </w:tcPr>
          <w:p w:rsidR="006C6405" w:rsidRPr="006C6405" w:rsidRDefault="006C6405" w:rsidP="006C6405">
            <w:pPr>
              <w:spacing w:beforeLines="20" w:before="48" w:afterLines="20" w:after="48" w:line="240" w:lineRule="auto"/>
              <w:rPr>
                <w:rFonts w:ascii="Times New Roman" w:eastAsia="Times New Roman" w:hAnsi="Times New Roman" w:cs="Times New Roman"/>
                <w:b/>
                <w:szCs w:val="18"/>
              </w:rPr>
            </w:pPr>
            <w:r w:rsidRPr="006C6405">
              <w:rPr>
                <w:rFonts w:ascii="Times New Roman" w:eastAsia="Times New Roman" w:hAnsi="Times New Roman" w:cs="Times New Roman"/>
                <w:b/>
                <w:szCs w:val="18"/>
              </w:rPr>
              <w:t>Adult Services: Complete Levels of Care</w:t>
            </w:r>
          </w:p>
        </w:tc>
        <w:tc>
          <w:tcPr>
            <w:tcW w:w="1980" w:type="dxa"/>
            <w:tcBorders>
              <w:top w:val="double" w:sz="4" w:space="0" w:color="auto"/>
            </w:tcBorders>
            <w:shd w:val="clear" w:color="auto" w:fill="F3F3F3"/>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b/>
                <w:szCs w:val="18"/>
              </w:rPr>
            </w:pPr>
          </w:p>
        </w:tc>
        <w:tc>
          <w:tcPr>
            <w:tcW w:w="2160" w:type="dxa"/>
            <w:tcBorders>
              <w:top w:val="double" w:sz="4" w:space="0" w:color="auto"/>
            </w:tcBorders>
            <w:shd w:val="clear" w:color="auto" w:fill="F3F3F3"/>
          </w:tcPr>
          <w:p w:rsidR="006C6405" w:rsidRPr="006C6405" w:rsidRDefault="006C6405" w:rsidP="006C6405">
            <w:pPr>
              <w:spacing w:beforeLines="20" w:before="48" w:afterLines="20" w:after="48" w:line="240" w:lineRule="auto"/>
              <w:rPr>
                <w:rFonts w:ascii="Times New Roman" w:eastAsia="Times New Roman" w:hAnsi="Times New Roman" w:cs="Times New Roman"/>
                <w:b/>
                <w:szCs w:val="18"/>
              </w:rPr>
            </w:pPr>
          </w:p>
        </w:tc>
        <w:tc>
          <w:tcPr>
            <w:tcW w:w="2250" w:type="dxa"/>
            <w:tcBorders>
              <w:top w:val="double" w:sz="4" w:space="0" w:color="auto"/>
            </w:tcBorders>
            <w:shd w:val="clear" w:color="auto" w:fill="F3F3F3"/>
          </w:tcPr>
          <w:p w:rsidR="006C6405" w:rsidRPr="006C6405" w:rsidRDefault="006C6405" w:rsidP="006C6405">
            <w:pPr>
              <w:spacing w:beforeLines="20" w:before="48" w:afterLines="20" w:after="48" w:line="240" w:lineRule="auto"/>
              <w:rPr>
                <w:rFonts w:ascii="Times New Roman" w:eastAsia="Times New Roman" w:hAnsi="Times New Roman" w:cs="Times New Roman"/>
                <w:b/>
                <w:szCs w:val="18"/>
              </w:rPr>
            </w:pP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Adult LOC 1m</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20</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20</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Adult LOC 1s</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759</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759</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Adult LOC 2</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43</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43</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Adult LOC 3</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15</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15</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Adult LOC 4</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Borders>
              <w:bottom w:val="single" w:sz="4" w:space="0" w:color="auto"/>
            </w:tcBorders>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Adult LOC 5</w:t>
            </w:r>
          </w:p>
        </w:tc>
        <w:tc>
          <w:tcPr>
            <w:tcW w:w="1980" w:type="dxa"/>
            <w:tcBorders>
              <w:bottom w:val="single" w:sz="4" w:space="0" w:color="auto"/>
            </w:tcBorders>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w:t>
            </w:r>
          </w:p>
        </w:tc>
        <w:tc>
          <w:tcPr>
            <w:tcW w:w="2160" w:type="dxa"/>
            <w:tcBorders>
              <w:bottom w:val="single" w:sz="4" w:space="0" w:color="auto"/>
            </w:tcBorders>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w:t>
            </w:r>
          </w:p>
        </w:tc>
        <w:tc>
          <w:tcPr>
            <w:tcW w:w="2250" w:type="dxa"/>
            <w:tcBorders>
              <w:bottom w:val="single" w:sz="4" w:space="0" w:color="auto"/>
            </w:tcBorders>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bl>
    <w:p w:rsidR="006C6405" w:rsidRPr="006C6405" w:rsidRDefault="006C6405" w:rsidP="006C6405">
      <w:pPr>
        <w:spacing w:after="0" w:line="240" w:lineRule="auto"/>
        <w:rPr>
          <w:rFonts w:ascii="Times New Roman" w:eastAsia="Times New Roman" w:hAnsi="Times New Roman" w:cs="Times New Roman"/>
          <w:sz w:val="24"/>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250"/>
      </w:tblGrid>
      <w:tr w:rsidR="006C6405" w:rsidRPr="006C6405" w:rsidTr="000D71D5">
        <w:tc>
          <w:tcPr>
            <w:tcW w:w="5130" w:type="dxa"/>
            <w:shd w:val="clear" w:color="auto" w:fill="F3F3F3"/>
          </w:tcPr>
          <w:p w:rsidR="006C6405" w:rsidRPr="006C6405" w:rsidRDefault="006C6405" w:rsidP="006C6405">
            <w:pPr>
              <w:spacing w:beforeLines="20" w:before="48" w:afterLines="20" w:after="48" w:line="240" w:lineRule="auto"/>
              <w:rPr>
                <w:rFonts w:ascii="Times New Roman" w:eastAsia="Times New Roman" w:hAnsi="Times New Roman" w:cs="Times New Roman"/>
                <w:b/>
                <w:sz w:val="20"/>
                <w:szCs w:val="18"/>
              </w:rPr>
            </w:pPr>
            <w:r w:rsidRPr="006C6405">
              <w:rPr>
                <w:rFonts w:ascii="Times New Roman" w:eastAsia="Times New Roman" w:hAnsi="Times New Roman" w:cs="Times New Roman"/>
                <w:b/>
                <w:szCs w:val="18"/>
              </w:rPr>
              <w:t>Child and Youth Services: Complete Levels of Care</w:t>
            </w:r>
          </w:p>
        </w:tc>
        <w:tc>
          <w:tcPr>
            <w:tcW w:w="1980" w:type="dxa"/>
            <w:shd w:val="clear" w:color="auto" w:fill="F3F3F3"/>
          </w:tcPr>
          <w:p w:rsidR="006C6405" w:rsidRPr="006C6405" w:rsidRDefault="006C6405" w:rsidP="006C6405">
            <w:pPr>
              <w:spacing w:after="0" w:line="240" w:lineRule="auto"/>
              <w:jc w:val="center"/>
              <w:rPr>
                <w:rFonts w:ascii="Times New Roman" w:eastAsia="Times New Roman" w:hAnsi="Times New Roman" w:cs="Times New Roman"/>
                <w:b/>
                <w:bCs/>
                <w:sz w:val="20"/>
                <w:szCs w:val="18"/>
              </w:rPr>
            </w:pPr>
            <w:r w:rsidRPr="006C6405">
              <w:rPr>
                <w:rFonts w:ascii="Times New Roman" w:eastAsia="Times New Roman" w:hAnsi="Times New Roman" w:cs="Times New Roman"/>
                <w:b/>
                <w:bCs/>
                <w:sz w:val="20"/>
                <w:szCs w:val="18"/>
              </w:rPr>
              <w:t>FY 2015 service capacity (non-Medicaid only)</w:t>
            </w:r>
          </w:p>
          <w:p w:rsidR="006C6405" w:rsidRPr="006C6405" w:rsidRDefault="006C6405" w:rsidP="006C6405">
            <w:pPr>
              <w:spacing w:after="0" w:line="240" w:lineRule="auto"/>
              <w:jc w:val="center"/>
              <w:rPr>
                <w:rFonts w:ascii="Times New Roman" w:eastAsia="Times New Roman" w:hAnsi="Times New Roman" w:cs="Times New Roman"/>
                <w:b/>
                <w:bCs/>
                <w:sz w:val="20"/>
                <w:szCs w:val="18"/>
              </w:rPr>
            </w:pPr>
          </w:p>
        </w:tc>
        <w:tc>
          <w:tcPr>
            <w:tcW w:w="2160" w:type="dxa"/>
            <w:shd w:val="clear" w:color="auto" w:fill="F3F3F3"/>
          </w:tcPr>
          <w:p w:rsidR="006C6405" w:rsidRPr="006C6405" w:rsidRDefault="006C6405" w:rsidP="006C6405">
            <w:pPr>
              <w:spacing w:before="20" w:afterLines="20" w:after="48" w:line="240" w:lineRule="auto"/>
              <w:jc w:val="center"/>
              <w:rPr>
                <w:rFonts w:ascii="Times New Roman" w:eastAsia="Times New Roman" w:hAnsi="Times New Roman" w:cs="Times New Roman"/>
                <w:b/>
                <w:sz w:val="20"/>
                <w:szCs w:val="18"/>
              </w:rPr>
            </w:pPr>
            <w:r w:rsidRPr="006C6405">
              <w:rPr>
                <w:rFonts w:ascii="Times New Roman" w:eastAsia="Times New Roman" w:hAnsi="Times New Roman" w:cs="Times New Roman"/>
                <w:b/>
                <w:sz w:val="20"/>
                <w:szCs w:val="18"/>
              </w:rPr>
              <w:t>Estimated FY 2016 service capacity (non-Medicaid only)</w:t>
            </w:r>
          </w:p>
        </w:tc>
        <w:tc>
          <w:tcPr>
            <w:tcW w:w="2250" w:type="dxa"/>
            <w:shd w:val="clear" w:color="auto" w:fill="F3F3F3"/>
          </w:tcPr>
          <w:p w:rsidR="006C6405" w:rsidRPr="006C6405" w:rsidRDefault="006C6405" w:rsidP="006C6405">
            <w:pPr>
              <w:spacing w:before="20" w:afterLines="20" w:after="48" w:line="240" w:lineRule="auto"/>
              <w:jc w:val="center"/>
              <w:rPr>
                <w:rFonts w:ascii="Times New Roman" w:eastAsia="Times New Roman" w:hAnsi="Times New Roman" w:cs="Times New Roman"/>
                <w:b/>
                <w:sz w:val="20"/>
                <w:szCs w:val="18"/>
              </w:rPr>
            </w:pPr>
            <w:r w:rsidRPr="006C6405">
              <w:rPr>
                <w:rFonts w:ascii="Times New Roman" w:eastAsia="Times New Roman" w:hAnsi="Times New Roman" w:cs="Times New Roman"/>
                <w:b/>
                <w:sz w:val="20"/>
                <w:szCs w:val="18"/>
              </w:rPr>
              <w:t>Percent total non-Medicaid capacity provided by external providers in FY 2015*</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Children’s LOC 1</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26</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26</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Children’s LOC 2</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28</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28</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Children’s LOC 3</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5</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5</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lastRenderedPageBreak/>
              <w:t>Children’s LOC 4</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Children’s CYC</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2</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Children’s LOC 5</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w:t>
            </w:r>
          </w:p>
        </w:tc>
        <w:tc>
          <w:tcPr>
            <w:tcW w:w="225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w:t>
            </w:r>
          </w:p>
        </w:tc>
      </w:tr>
    </w:tbl>
    <w:p w:rsidR="006C6405" w:rsidRPr="006C6405" w:rsidRDefault="006C6405" w:rsidP="006C6405">
      <w:pPr>
        <w:numPr>
          <w:ilvl w:val="0"/>
          <w:numId w:val="7"/>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100% of children’s psychiatric services in all LOCs occur through telemedicine provided through contracts with external providers. </w:t>
      </w:r>
    </w:p>
    <w:p w:rsidR="006C6405" w:rsidRPr="006C6405" w:rsidRDefault="006C6405" w:rsidP="006C6405">
      <w:pPr>
        <w:spacing w:after="0" w:line="240" w:lineRule="auto"/>
        <w:ind w:left="720"/>
        <w:rPr>
          <w:rFonts w:ascii="Times New Roman" w:eastAsia="Times New Roman" w:hAnsi="Times New Roman" w:cs="Times New Roman"/>
          <w:sz w:val="24"/>
          <w:szCs w:val="20"/>
        </w:rPr>
      </w:pPr>
    </w:p>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1980"/>
        <w:gridCol w:w="2160"/>
        <w:gridCol w:w="2160"/>
      </w:tblGrid>
      <w:tr w:rsidR="006C6405" w:rsidRPr="006C6405" w:rsidTr="000D71D5">
        <w:tc>
          <w:tcPr>
            <w:tcW w:w="5130" w:type="dxa"/>
            <w:shd w:val="clear" w:color="auto" w:fill="F3F3F3"/>
          </w:tcPr>
          <w:p w:rsidR="006C6405" w:rsidRPr="006C6405" w:rsidRDefault="006C6405" w:rsidP="006C6405">
            <w:pPr>
              <w:spacing w:after="0" w:line="240" w:lineRule="auto"/>
              <w:rPr>
                <w:rFonts w:ascii="Times New Roman" w:eastAsia="Times New Roman" w:hAnsi="Times New Roman" w:cs="Times New Roman"/>
                <w:b/>
              </w:rPr>
            </w:pPr>
            <w:r w:rsidRPr="006C6405">
              <w:rPr>
                <w:rFonts w:ascii="Times New Roman" w:eastAsia="Times New Roman" w:hAnsi="Times New Roman" w:cs="Times New Roman"/>
                <w:b/>
              </w:rPr>
              <w:t>Crisis Services</w:t>
            </w:r>
          </w:p>
        </w:tc>
        <w:tc>
          <w:tcPr>
            <w:tcW w:w="1980" w:type="dxa"/>
            <w:shd w:val="clear" w:color="auto" w:fill="F3F3F3"/>
          </w:tcPr>
          <w:p w:rsidR="006C6405" w:rsidRPr="006C6405" w:rsidRDefault="006C6405" w:rsidP="006C6405">
            <w:pPr>
              <w:spacing w:after="0" w:line="240" w:lineRule="auto"/>
              <w:jc w:val="center"/>
              <w:rPr>
                <w:rFonts w:ascii="Times New Roman" w:eastAsia="Times New Roman" w:hAnsi="Times New Roman" w:cs="Times New Roman"/>
                <w:b/>
                <w:bCs/>
                <w:sz w:val="20"/>
                <w:szCs w:val="18"/>
              </w:rPr>
            </w:pPr>
            <w:r w:rsidRPr="006C6405">
              <w:rPr>
                <w:rFonts w:ascii="Times New Roman" w:eastAsia="Times New Roman" w:hAnsi="Times New Roman" w:cs="Times New Roman"/>
                <w:b/>
                <w:bCs/>
                <w:sz w:val="20"/>
                <w:szCs w:val="18"/>
              </w:rPr>
              <w:t>FY 2015 service capacity</w:t>
            </w:r>
          </w:p>
          <w:p w:rsidR="006C6405" w:rsidRPr="006C6405" w:rsidRDefault="006C6405" w:rsidP="006C6405">
            <w:pPr>
              <w:spacing w:after="0" w:line="240" w:lineRule="auto"/>
              <w:jc w:val="center"/>
              <w:rPr>
                <w:rFonts w:ascii="Times New Roman" w:eastAsia="Times New Roman" w:hAnsi="Times New Roman" w:cs="Times New Roman"/>
                <w:b/>
                <w:bCs/>
                <w:sz w:val="20"/>
                <w:szCs w:val="18"/>
              </w:rPr>
            </w:pPr>
          </w:p>
        </w:tc>
        <w:tc>
          <w:tcPr>
            <w:tcW w:w="2160" w:type="dxa"/>
            <w:shd w:val="clear" w:color="auto" w:fill="F3F3F3"/>
          </w:tcPr>
          <w:p w:rsidR="006C6405" w:rsidRPr="006C6405" w:rsidRDefault="006C6405" w:rsidP="006C6405">
            <w:pPr>
              <w:spacing w:before="20" w:afterLines="20" w:after="48" w:line="240" w:lineRule="auto"/>
              <w:jc w:val="center"/>
              <w:rPr>
                <w:rFonts w:ascii="Times New Roman" w:eastAsia="Times New Roman" w:hAnsi="Times New Roman" w:cs="Times New Roman"/>
                <w:b/>
                <w:sz w:val="20"/>
                <w:szCs w:val="18"/>
              </w:rPr>
            </w:pPr>
            <w:r w:rsidRPr="006C6405">
              <w:rPr>
                <w:rFonts w:ascii="Times New Roman" w:eastAsia="Times New Roman" w:hAnsi="Times New Roman" w:cs="Times New Roman"/>
                <w:b/>
                <w:sz w:val="20"/>
                <w:szCs w:val="18"/>
              </w:rPr>
              <w:t xml:space="preserve">Estimated FY 2016 service capacity </w:t>
            </w:r>
          </w:p>
        </w:tc>
        <w:tc>
          <w:tcPr>
            <w:tcW w:w="2160" w:type="dxa"/>
            <w:shd w:val="clear" w:color="auto" w:fill="F3F3F3"/>
          </w:tcPr>
          <w:p w:rsidR="006C6405" w:rsidRPr="006C6405" w:rsidRDefault="006C6405" w:rsidP="006C6405">
            <w:pPr>
              <w:spacing w:before="20" w:afterLines="20" w:after="48" w:line="240" w:lineRule="auto"/>
              <w:jc w:val="center"/>
              <w:rPr>
                <w:rFonts w:ascii="Times New Roman" w:eastAsia="Times New Roman" w:hAnsi="Times New Roman" w:cs="Times New Roman"/>
                <w:b/>
                <w:sz w:val="20"/>
                <w:szCs w:val="18"/>
              </w:rPr>
            </w:pPr>
            <w:r w:rsidRPr="006C6405">
              <w:rPr>
                <w:rFonts w:ascii="Times New Roman" w:eastAsia="Times New Roman" w:hAnsi="Times New Roman" w:cs="Times New Roman"/>
                <w:b/>
                <w:sz w:val="20"/>
                <w:szCs w:val="18"/>
              </w:rPr>
              <w:t>Percent total capacity provided by external providers in FY 2015*</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Crisis Hotline</w:t>
            </w:r>
          </w:p>
        </w:tc>
        <w:tc>
          <w:tcPr>
            <w:tcW w:w="1980" w:type="dxa"/>
          </w:tcPr>
          <w:p w:rsidR="004E0EB0" w:rsidRDefault="004E0EB0" w:rsidP="006C6405">
            <w:pPr>
              <w:spacing w:beforeLines="20" w:before="48" w:afterLines="20" w:after="48"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1068</w:t>
            </w:r>
          </w:p>
          <w:p w:rsidR="006C6405" w:rsidRPr="006C6405" w:rsidRDefault="004E0EB0" w:rsidP="004E0EB0">
            <w:pPr>
              <w:spacing w:beforeLines="20" w:before="48" w:afterLines="20" w:after="48"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(avg. of  89 contacts/</w:t>
            </w:r>
            <w:proofErr w:type="spellStart"/>
            <w:r>
              <w:rPr>
                <w:rFonts w:ascii="Times New Roman" w:eastAsia="Times New Roman" w:hAnsi="Times New Roman" w:cs="Times New Roman"/>
                <w:sz w:val="20"/>
                <w:szCs w:val="18"/>
              </w:rPr>
              <w:t>mo</w:t>
            </w:r>
            <w:proofErr w:type="spellEnd"/>
            <w:r>
              <w:rPr>
                <w:rFonts w:ascii="Times New Roman" w:eastAsia="Times New Roman" w:hAnsi="Times New Roman" w:cs="Times New Roman"/>
                <w:sz w:val="20"/>
                <w:szCs w:val="18"/>
              </w:rPr>
              <w:t>)</w:t>
            </w:r>
          </w:p>
        </w:tc>
        <w:tc>
          <w:tcPr>
            <w:tcW w:w="2160" w:type="dxa"/>
          </w:tcPr>
          <w:p w:rsidR="006C6405" w:rsidRDefault="004E0EB0" w:rsidP="006C6405">
            <w:pPr>
              <w:spacing w:beforeLines="20" w:before="48" w:afterLines="20" w:after="48"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1068</w:t>
            </w:r>
          </w:p>
          <w:p w:rsidR="004E0EB0" w:rsidRPr="006C6405" w:rsidRDefault="004E0EB0" w:rsidP="006C6405">
            <w:pPr>
              <w:spacing w:beforeLines="20" w:before="48" w:afterLines="20" w:after="48" w:line="240" w:lineRule="auto"/>
              <w:rPr>
                <w:rFonts w:ascii="Times New Roman" w:eastAsia="Times New Roman" w:hAnsi="Times New Roman" w:cs="Times New Roman"/>
                <w:sz w:val="20"/>
                <w:szCs w:val="18"/>
              </w:rPr>
            </w:pP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100%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Mobile Crisis Outreach Team</w:t>
            </w:r>
          </w:p>
        </w:tc>
        <w:tc>
          <w:tcPr>
            <w:tcW w:w="1980" w:type="dxa"/>
          </w:tcPr>
          <w:p w:rsidR="006C6405" w:rsidRDefault="004E0EB0" w:rsidP="004E0EB0">
            <w:pPr>
              <w:spacing w:beforeLines="20" w:before="48" w:afterLines="20" w:after="48"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2064</w:t>
            </w:r>
          </w:p>
          <w:p w:rsidR="004E0EB0" w:rsidRPr="006C6405" w:rsidRDefault="004E0EB0" w:rsidP="004E0EB0">
            <w:pPr>
              <w:spacing w:beforeLines="20" w:before="48" w:afterLines="20" w:after="48" w:line="240" w:lineRule="auto"/>
              <w:jc w:val="center"/>
              <w:rPr>
                <w:rFonts w:ascii="Times New Roman" w:eastAsia="Times New Roman" w:hAnsi="Times New Roman" w:cs="Times New Roman"/>
                <w:sz w:val="20"/>
                <w:szCs w:val="18"/>
              </w:rPr>
            </w:pPr>
            <w:r>
              <w:rPr>
                <w:rFonts w:ascii="Times New Roman" w:eastAsia="Times New Roman" w:hAnsi="Times New Roman" w:cs="Times New Roman"/>
                <w:sz w:val="20"/>
                <w:szCs w:val="18"/>
              </w:rPr>
              <w:t>(avg. of 172 contacts/</w:t>
            </w:r>
            <w:proofErr w:type="spellStart"/>
            <w:r>
              <w:rPr>
                <w:rFonts w:ascii="Times New Roman" w:eastAsia="Times New Roman" w:hAnsi="Times New Roman" w:cs="Times New Roman"/>
                <w:sz w:val="20"/>
                <w:szCs w:val="18"/>
              </w:rPr>
              <w:t>mo</w:t>
            </w:r>
            <w:proofErr w:type="spellEnd"/>
            <w:r>
              <w:rPr>
                <w:rFonts w:ascii="Times New Roman" w:eastAsia="Times New Roman" w:hAnsi="Times New Roman" w:cs="Times New Roman"/>
                <w:sz w:val="20"/>
                <w:szCs w:val="18"/>
              </w:rPr>
              <w:t>)</w:t>
            </w:r>
          </w:p>
        </w:tc>
        <w:tc>
          <w:tcPr>
            <w:tcW w:w="2160" w:type="dxa"/>
          </w:tcPr>
          <w:p w:rsidR="006C6405" w:rsidRPr="006C6405" w:rsidRDefault="004E0EB0" w:rsidP="006C6405">
            <w:pPr>
              <w:spacing w:beforeLines="20" w:before="48" w:afterLines="20" w:after="48" w:line="240" w:lineRule="auto"/>
              <w:rPr>
                <w:rFonts w:ascii="Times New Roman" w:eastAsia="Times New Roman" w:hAnsi="Times New Roman" w:cs="Times New Roman"/>
                <w:sz w:val="20"/>
                <w:szCs w:val="18"/>
              </w:rPr>
            </w:pPr>
            <w:r>
              <w:rPr>
                <w:rFonts w:ascii="Times New Roman" w:eastAsia="Times New Roman" w:hAnsi="Times New Roman" w:cs="Times New Roman"/>
                <w:sz w:val="20"/>
                <w:szCs w:val="18"/>
              </w:rPr>
              <w:t xml:space="preserve">             2064</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0%</w:t>
            </w:r>
          </w:p>
        </w:tc>
      </w:tr>
      <w:tr w:rsidR="006C6405" w:rsidRPr="006C6405" w:rsidTr="000D71D5">
        <w:tc>
          <w:tcPr>
            <w:tcW w:w="513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Other (Please list all PESC Projects and other Crisis Services):</w:t>
            </w:r>
          </w:p>
        </w:tc>
        <w:tc>
          <w:tcPr>
            <w:tcW w:w="1980" w:type="dxa"/>
          </w:tcPr>
          <w:p w:rsidR="006C6405" w:rsidRPr="006C6405" w:rsidRDefault="006C6405" w:rsidP="006C6405">
            <w:pPr>
              <w:spacing w:beforeLines="20" w:before="48" w:afterLines="20" w:after="48" w:line="240" w:lineRule="auto"/>
              <w:jc w:val="center"/>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N/A</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N/A</w:t>
            </w:r>
          </w:p>
        </w:tc>
        <w:tc>
          <w:tcPr>
            <w:tcW w:w="2160" w:type="dxa"/>
          </w:tcPr>
          <w:p w:rsidR="006C6405" w:rsidRPr="006C6405" w:rsidRDefault="006C6405" w:rsidP="006C6405">
            <w:pPr>
              <w:spacing w:beforeLines="20" w:before="48" w:afterLines="20" w:after="48" w:line="240" w:lineRule="auto"/>
              <w:rPr>
                <w:rFonts w:ascii="Times New Roman" w:eastAsia="Times New Roman" w:hAnsi="Times New Roman" w:cs="Times New Roman"/>
                <w:sz w:val="20"/>
                <w:szCs w:val="18"/>
              </w:rPr>
            </w:pPr>
            <w:r w:rsidRPr="006C6405">
              <w:rPr>
                <w:rFonts w:ascii="Times New Roman" w:eastAsia="Times New Roman" w:hAnsi="Times New Roman" w:cs="Times New Roman"/>
                <w:sz w:val="20"/>
                <w:szCs w:val="18"/>
              </w:rPr>
              <w:t>N/A</w:t>
            </w:r>
          </w:p>
        </w:tc>
      </w:tr>
    </w:tbl>
    <w:p w:rsidR="006C6405" w:rsidRPr="006C6405" w:rsidRDefault="006C6405" w:rsidP="006C6405">
      <w:pPr>
        <w:spacing w:after="0" w:line="240" w:lineRule="auto"/>
        <w:ind w:left="360" w:hanging="360"/>
        <w:rPr>
          <w:rFonts w:ascii="Times New Roman" w:eastAsia="Times New Roman" w:hAnsi="Times New Roman" w:cs="Times New Roman"/>
          <w:i/>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List </w:t>
      </w:r>
      <w:r w:rsidRPr="006C6405">
        <w:rPr>
          <w:rFonts w:ascii="Times New Roman" w:eastAsia="Times New Roman" w:hAnsi="Times New Roman" w:cs="Times New Roman"/>
          <w:b/>
          <w:i/>
          <w:sz w:val="24"/>
          <w:szCs w:val="20"/>
        </w:rPr>
        <w:t>all</w:t>
      </w:r>
      <w:r w:rsidRPr="006C6405">
        <w:rPr>
          <w:rFonts w:ascii="Times New Roman" w:eastAsia="Times New Roman" w:hAnsi="Times New Roman" w:cs="Times New Roman"/>
          <w:i/>
          <w:sz w:val="24"/>
          <w:szCs w:val="20"/>
        </w:rPr>
        <w:t xml:space="preserve"> of your FY 2015 Contracts in the tables below. Include contracts with provider organizations and individual practitioners for discrete services. If you have a lengthy list, you may submit it as an attachment using the same format.</w:t>
      </w:r>
    </w:p>
    <w:p w:rsidR="006C6405" w:rsidRPr="006C6405" w:rsidRDefault="006C6405" w:rsidP="006C6405">
      <w:pPr>
        <w:numPr>
          <w:ilvl w:val="1"/>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In the Provider column, list the name of the provider organization or individual practitioner.  The LMHA must have written consent to include the name of an individual peer support provider.  For peer providers that do not wish to have their names listed, state the number of individuals (e.g., “3 Individuals”).</w:t>
      </w:r>
    </w:p>
    <w:p w:rsidR="006C6405" w:rsidRPr="006C6405" w:rsidRDefault="006C6405" w:rsidP="006C6405">
      <w:pPr>
        <w:numPr>
          <w:ilvl w:val="1"/>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List the services provided by each contractor, including full levels of care, discrete services (such as CBT, physician services, or family partner services), crisis and other specialty services, and support services (such as pharmacy benefits management, laboratory, etc.).</w:t>
      </w:r>
    </w:p>
    <w:p w:rsidR="006C6405" w:rsidRPr="006C6405" w:rsidRDefault="006C6405" w:rsidP="006C6405">
      <w:pPr>
        <w:spacing w:after="0" w:line="240" w:lineRule="auto"/>
        <w:ind w:left="720"/>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8730"/>
      </w:tblGrid>
      <w:tr w:rsidR="006C6405" w:rsidRPr="006C6405" w:rsidTr="000D71D5">
        <w:tc>
          <w:tcPr>
            <w:tcW w:w="4158"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Provider Organizations</w:t>
            </w:r>
          </w:p>
        </w:tc>
        <w:tc>
          <w:tcPr>
            <w:tcW w:w="873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None</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N/A</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bl>
    <w:p w:rsidR="006C6405" w:rsidRPr="006C6405" w:rsidRDefault="006C6405" w:rsidP="006C6405">
      <w:pPr>
        <w:spacing w:after="0" w:line="240" w:lineRule="auto"/>
        <w:ind w:left="360" w:hanging="360"/>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8730"/>
      </w:tblGrid>
      <w:tr w:rsidR="006C6405" w:rsidRPr="006C6405" w:rsidTr="000D71D5">
        <w:tc>
          <w:tcPr>
            <w:tcW w:w="4158"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lastRenderedPageBreak/>
              <w:t>Individual Practitioners</w:t>
            </w:r>
          </w:p>
        </w:tc>
        <w:tc>
          <w:tcPr>
            <w:tcW w:w="873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Avail </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Crisis Hotline </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Anderson County </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MH Crisis Deputy</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Cherokee County</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MH Crisis Deputy</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Bent Anchor Ranch</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Equine Therapy</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Brad </w:t>
            </w:r>
            <w:proofErr w:type="spellStart"/>
            <w:r w:rsidRPr="006C6405">
              <w:rPr>
                <w:rFonts w:ascii="Times New Roman" w:eastAsia="Times New Roman" w:hAnsi="Times New Roman" w:cs="Times New Roman"/>
                <w:sz w:val="24"/>
                <w:szCs w:val="20"/>
              </w:rPr>
              <w:t>Brazeal</w:t>
            </w:r>
            <w:proofErr w:type="spellEnd"/>
            <w:r w:rsidRPr="006C6405">
              <w:rPr>
                <w:rFonts w:ascii="Times New Roman" w:eastAsia="Times New Roman" w:hAnsi="Times New Roman" w:cs="Times New Roman"/>
                <w:sz w:val="24"/>
                <w:szCs w:val="20"/>
              </w:rPr>
              <w:t>, MD</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Psychiatric Med Management</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Paul Wick, MD</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Psychiatric Med Management</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East Texas Behavioral Network (ETBHN)</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Telemedicine, Psychiatric Services, Pharmacy 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East Texas Medical Center/BHC </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In-patient Psychiatric 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East Texas Center for Independent Living</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Translation, Sign Language 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Gateway Community Partners</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IDD Community Supports, Supported Employment, Day Habilitation, Vocational Training, Respite, Recreation</w:t>
            </w:r>
          </w:p>
        </w:tc>
      </w:tr>
      <w:tr w:rsidR="004E0EB0" w:rsidRPr="006C6405" w:rsidTr="000D71D5">
        <w:tc>
          <w:tcPr>
            <w:tcW w:w="4158" w:type="dxa"/>
          </w:tcPr>
          <w:p w:rsidR="004E0EB0" w:rsidRPr="006C6405" w:rsidRDefault="004E0EB0" w:rsidP="006C6405">
            <w:pPr>
              <w:spacing w:before="60" w:after="6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Glen Oaks Hospital</w:t>
            </w:r>
          </w:p>
        </w:tc>
        <w:tc>
          <w:tcPr>
            <w:tcW w:w="8730" w:type="dxa"/>
          </w:tcPr>
          <w:p w:rsidR="004E0EB0" w:rsidRPr="006C6405" w:rsidRDefault="004E0EB0" w:rsidP="006C6405">
            <w:pPr>
              <w:spacing w:before="60" w:after="6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In-patient Psychiatric 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Mary Cox, PhD</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Psychological Services (DIDs, Behavior Therapy Plans)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Erik </w:t>
            </w:r>
            <w:proofErr w:type="spellStart"/>
            <w:r w:rsidRPr="006C6405">
              <w:rPr>
                <w:rFonts w:ascii="Times New Roman" w:eastAsia="Times New Roman" w:hAnsi="Times New Roman" w:cs="Times New Roman"/>
                <w:sz w:val="24"/>
                <w:szCs w:val="20"/>
              </w:rPr>
              <w:t>Lenert</w:t>
            </w:r>
            <w:proofErr w:type="spellEnd"/>
            <w:r w:rsidRPr="006C6405">
              <w:rPr>
                <w:rFonts w:ascii="Times New Roman" w:eastAsia="Times New Roman" w:hAnsi="Times New Roman" w:cs="Times New Roman"/>
                <w:sz w:val="24"/>
                <w:szCs w:val="20"/>
              </w:rPr>
              <w:t>, PhD</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Psychological Services (DIDs)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Parsons</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Foster Care</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Palestine Regional Medical Center </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In-patient Psychiatric Services</w:t>
            </w:r>
          </w:p>
        </w:tc>
      </w:tr>
      <w:tr w:rsidR="006C6405" w:rsidRPr="006C6405" w:rsidTr="000D71D5">
        <w:tc>
          <w:tcPr>
            <w:tcW w:w="4158"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Texas Specialty Physicians</w:t>
            </w:r>
          </w:p>
        </w:tc>
        <w:tc>
          <w:tcPr>
            <w:tcW w:w="873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Psychiatric Services</w:t>
            </w:r>
          </w:p>
        </w:tc>
      </w:tr>
    </w:tbl>
    <w:p w:rsidR="006C6405" w:rsidRDefault="006C6405" w:rsidP="006C6405">
      <w:pPr>
        <w:spacing w:after="0" w:line="240" w:lineRule="auto"/>
        <w:ind w:left="360" w:hanging="360"/>
        <w:rPr>
          <w:rFonts w:ascii="Times New Roman" w:eastAsia="Times New Roman" w:hAnsi="Times New Roman" w:cs="Times New Roman"/>
          <w:sz w:val="24"/>
          <w:szCs w:val="20"/>
        </w:rPr>
      </w:pPr>
    </w:p>
    <w:p w:rsidR="004E0EB0" w:rsidRDefault="004E0EB0" w:rsidP="006C6405">
      <w:pPr>
        <w:spacing w:after="0" w:line="240" w:lineRule="auto"/>
        <w:ind w:left="360" w:hanging="360"/>
        <w:rPr>
          <w:rFonts w:ascii="Times New Roman" w:eastAsia="Times New Roman" w:hAnsi="Times New Roman" w:cs="Times New Roman"/>
          <w:sz w:val="24"/>
          <w:szCs w:val="20"/>
        </w:rPr>
      </w:pPr>
    </w:p>
    <w:p w:rsidR="004E0EB0" w:rsidRPr="006C6405" w:rsidRDefault="004E0EB0" w:rsidP="006C6405">
      <w:pPr>
        <w:spacing w:after="0" w:line="240" w:lineRule="auto"/>
        <w:ind w:left="360" w:hanging="360"/>
        <w:rPr>
          <w:rFonts w:ascii="Times New Roman" w:eastAsia="Times New Roman" w:hAnsi="Times New Roman" w:cs="Times New Roman"/>
          <w:sz w:val="24"/>
          <w:szCs w:val="20"/>
        </w:rPr>
      </w:pPr>
    </w:p>
    <w:p w:rsidR="006C6405" w:rsidRPr="006C6405" w:rsidRDefault="006C6405" w:rsidP="006C6405">
      <w:pPr>
        <w:keepNext/>
        <w:shd w:val="clear" w:color="auto" w:fill="CCCCCC"/>
        <w:spacing w:before="240" w:after="60" w:line="240" w:lineRule="auto"/>
        <w:outlineLvl w:val="1"/>
        <w:rPr>
          <w:rFonts w:ascii="Arial" w:eastAsia="Times New Roman" w:hAnsi="Arial" w:cs="Arial"/>
          <w:b/>
          <w:bCs/>
          <w:i/>
          <w:iCs/>
          <w:sz w:val="28"/>
          <w:szCs w:val="28"/>
        </w:rPr>
      </w:pPr>
      <w:r w:rsidRPr="006C6405">
        <w:rPr>
          <w:rFonts w:ascii="Arial" w:eastAsia="Times New Roman" w:hAnsi="Arial" w:cs="Arial"/>
          <w:b/>
          <w:bCs/>
          <w:i/>
          <w:iCs/>
          <w:sz w:val="28"/>
          <w:szCs w:val="28"/>
        </w:rPr>
        <w:lastRenderedPageBreak/>
        <w:t>Provider Availability</w:t>
      </w:r>
    </w:p>
    <w:p w:rsidR="006C6405" w:rsidRPr="006C6405" w:rsidRDefault="006C6405" w:rsidP="006C6405">
      <w:p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NOTE:  The LPND process is specific to provider organizations interested in providing full levels of care to the non-Medicaid population or specialty services.  </w:t>
      </w:r>
      <w:r w:rsidRPr="006C6405">
        <w:rPr>
          <w:rFonts w:ascii="Times New Roman" w:eastAsia="Times New Roman" w:hAnsi="Times New Roman" w:cs="Times New Roman"/>
          <w:i/>
          <w:sz w:val="24"/>
          <w:szCs w:val="20"/>
          <w:u w:val="single"/>
        </w:rPr>
        <w:t>It is not necessary to assess the availability of individual practitioners</w:t>
      </w:r>
      <w:r w:rsidRPr="006C6405">
        <w:rPr>
          <w:rFonts w:ascii="Times New Roman" w:eastAsia="Times New Roman" w:hAnsi="Times New Roman" w:cs="Times New Roman"/>
          <w:i/>
          <w:sz w:val="24"/>
          <w:szCs w:val="20"/>
        </w:rPr>
        <w:t>. Procurement for the services of individual practitioners is governed by local needs and priorities.</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Using bullet format, list steps the LMHA took to identify potential external providers for this planning cycle.  </w:t>
      </w:r>
    </w:p>
    <w:p w:rsidR="006C6405" w:rsidRPr="006C6405" w:rsidRDefault="006C6405" w:rsidP="006C6405">
      <w:pPr>
        <w:numPr>
          <w:ilvl w:val="0"/>
          <w:numId w:val="2"/>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Checked DSHS website – no interested provider organizations</w:t>
      </w:r>
    </w:p>
    <w:p w:rsidR="006C6405" w:rsidRPr="006C6405" w:rsidRDefault="006C6405" w:rsidP="006C6405">
      <w:pPr>
        <w:numPr>
          <w:ilvl w:val="0"/>
          <w:numId w:val="2"/>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Checked region for potential providers (phone books, internet search)</w:t>
      </w:r>
    </w:p>
    <w:p w:rsidR="006C6405" w:rsidRPr="006C6405" w:rsidRDefault="006C6405" w:rsidP="006C6405">
      <w:pPr>
        <w:numPr>
          <w:ilvl w:val="0"/>
          <w:numId w:val="2"/>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No written or other inquiries have been received from providers since submission of 2012 LPND Plan</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Complete the following table, inserting additional rows as needed.</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List each potential provider identified during the process described in Item 5 of this section.  Include all current contractors, provider organizations that registered on the DSHS </w:t>
      </w:r>
      <w:proofErr w:type="gramStart"/>
      <w:r w:rsidRPr="006C6405">
        <w:rPr>
          <w:rFonts w:ascii="Times New Roman" w:eastAsia="Times New Roman" w:hAnsi="Times New Roman" w:cs="Times New Roman"/>
          <w:i/>
          <w:sz w:val="24"/>
          <w:szCs w:val="20"/>
        </w:rPr>
        <w:t>website,</w:t>
      </w:r>
      <w:proofErr w:type="gramEnd"/>
      <w:r w:rsidRPr="006C6405">
        <w:rPr>
          <w:rFonts w:ascii="Times New Roman" w:eastAsia="Times New Roman" w:hAnsi="Times New Roman" w:cs="Times New Roman"/>
          <w:i/>
          <w:sz w:val="24"/>
          <w:szCs w:val="20"/>
        </w:rPr>
        <w:t xml:space="preserve"> and provider organizations that have submitted written inquiries since submission of 2012 LPND plan.  You will receive notification from DSHS if a provider expresses interest in contracting with you via the DSHS website.  Provider inquiry forms will be accepted through the DSHS website through December 31, 2015. </w:t>
      </w:r>
      <w:r w:rsidRPr="006C6405">
        <w:rPr>
          <w:rFonts w:ascii="Times New Roman" w:eastAsia="Times New Roman" w:hAnsi="Times New Roman" w:cs="Times New Roman"/>
          <w:b/>
          <w:i/>
          <w:sz w:val="24"/>
          <w:szCs w:val="20"/>
        </w:rPr>
        <w:t xml:space="preserve">Note: </w:t>
      </w:r>
      <w:r w:rsidRPr="006C6405">
        <w:rPr>
          <w:rFonts w:ascii="Times New Roman" w:eastAsia="Times New Roman" w:hAnsi="Times New Roman" w:cs="Times New Roman"/>
          <w:i/>
          <w:sz w:val="24"/>
          <w:szCs w:val="20"/>
        </w:rPr>
        <w:t xml:space="preserve"> Do not finalize your provider availability assessment or post the LPND plan for public comment before January 6, 2016.</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Note the source used to identify the provider (e.g., current contract, DSHS website, LMHA website, e-mail, written inquiry). </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Summarize the content of the follow-up contact described in Appendix A.  If the provider did not respond to your invitation within 14 days, document your actions and the provider’s response.  In the final column, note the conclusion regarding the provider’s availability. For those deemed to be potential providers, include the type of services the provider can provide and the provider’s service capacity.  </w:t>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5580"/>
        <w:gridCol w:w="3780"/>
      </w:tblGrid>
      <w:tr w:rsidR="006C6405" w:rsidRPr="006C6405" w:rsidTr="000D71D5">
        <w:tc>
          <w:tcPr>
            <w:tcW w:w="198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Provider</w:t>
            </w:r>
          </w:p>
        </w:tc>
        <w:tc>
          <w:tcPr>
            <w:tcW w:w="162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Source of Identification</w:t>
            </w:r>
          </w:p>
        </w:tc>
        <w:tc>
          <w:tcPr>
            <w:tcW w:w="5580" w:type="dxa"/>
            <w:shd w:val="clear" w:color="auto" w:fill="F3F3F3"/>
          </w:tcPr>
          <w:p w:rsidR="006C6405" w:rsidRPr="006C6405" w:rsidRDefault="006C6405" w:rsidP="006C6405">
            <w:pPr>
              <w:tabs>
                <w:tab w:val="left" w:pos="6708"/>
              </w:tabs>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Summary of Follow-up Meeting or Teleconference</w:t>
            </w:r>
          </w:p>
        </w:tc>
        <w:tc>
          <w:tcPr>
            <w:tcW w:w="378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Assessment of Provider Availability, Services, and Capacity</w:t>
            </w:r>
          </w:p>
        </w:tc>
      </w:tr>
      <w:tr w:rsidR="006C6405" w:rsidRPr="006C6405" w:rsidTr="000D71D5">
        <w:tc>
          <w:tcPr>
            <w:tcW w:w="19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None</w:t>
            </w:r>
          </w:p>
        </w:tc>
        <w:tc>
          <w:tcPr>
            <w:tcW w:w="162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N/A</w:t>
            </w:r>
          </w:p>
        </w:tc>
        <w:tc>
          <w:tcPr>
            <w:tcW w:w="55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N/A</w:t>
            </w:r>
          </w:p>
        </w:tc>
        <w:tc>
          <w:tcPr>
            <w:tcW w:w="37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N/A</w:t>
            </w:r>
          </w:p>
        </w:tc>
      </w:tr>
      <w:tr w:rsidR="006C6405" w:rsidRPr="006C6405" w:rsidTr="000D71D5">
        <w:tc>
          <w:tcPr>
            <w:tcW w:w="19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62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55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37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br w:type="page"/>
      </w:r>
    </w:p>
    <w:p w:rsidR="006C6405" w:rsidRPr="006C6405" w:rsidRDefault="006C6405" w:rsidP="006C6405">
      <w:pPr>
        <w:keepNext/>
        <w:spacing w:before="240" w:after="60" w:line="240" w:lineRule="auto"/>
        <w:outlineLvl w:val="0"/>
        <w:rPr>
          <w:rFonts w:ascii="Calibri Light" w:eastAsia="Times New Roman" w:hAnsi="Calibri Light" w:cs="Times New Roman"/>
          <w:b/>
          <w:bCs/>
          <w:kern w:val="32"/>
          <w:sz w:val="48"/>
          <w:szCs w:val="32"/>
        </w:rPr>
      </w:pPr>
      <w:r w:rsidRPr="006C6405">
        <w:rPr>
          <w:rFonts w:ascii="Calibri Light" w:eastAsia="Times New Roman" w:hAnsi="Calibri Light" w:cs="Times New Roman"/>
          <w:b/>
          <w:bCs/>
          <w:kern w:val="32"/>
          <w:sz w:val="48"/>
          <w:szCs w:val="32"/>
        </w:rPr>
        <w:lastRenderedPageBreak/>
        <w:t>Part II: Required for LMHAs with potential for network development</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keepNext/>
        <w:shd w:val="clear" w:color="auto" w:fill="CCCCCC"/>
        <w:spacing w:before="240" w:after="60" w:line="240" w:lineRule="auto"/>
        <w:outlineLvl w:val="1"/>
        <w:rPr>
          <w:rFonts w:ascii="Arial" w:eastAsia="Times New Roman" w:hAnsi="Arial" w:cs="Arial"/>
          <w:b/>
          <w:bCs/>
          <w:i/>
          <w:iCs/>
          <w:sz w:val="28"/>
          <w:szCs w:val="28"/>
        </w:rPr>
      </w:pPr>
      <w:r w:rsidRPr="006C6405">
        <w:rPr>
          <w:rFonts w:ascii="Arial" w:eastAsia="Times New Roman" w:hAnsi="Arial" w:cs="Arial"/>
          <w:b/>
          <w:bCs/>
          <w:i/>
          <w:iCs/>
          <w:sz w:val="28"/>
          <w:szCs w:val="28"/>
        </w:rPr>
        <w:t>Procurement Plans</w:t>
      </w:r>
    </w:p>
    <w:p w:rsidR="006C6405" w:rsidRPr="006C6405" w:rsidRDefault="006C6405" w:rsidP="006C6405">
      <w:pPr>
        <w:spacing w:after="0" w:line="240" w:lineRule="auto"/>
        <w:rPr>
          <w:rFonts w:ascii="Times New Roman" w:eastAsia="Times New Roman" w:hAnsi="Times New Roman" w:cs="Times New Roman"/>
          <w:b/>
          <w:sz w:val="24"/>
          <w:szCs w:val="20"/>
        </w:rPr>
      </w:pPr>
    </w:p>
    <w:p w:rsidR="006C6405" w:rsidRPr="006C6405" w:rsidRDefault="006C6405" w:rsidP="006C6405">
      <w:pPr>
        <w:spacing w:after="0" w:line="240" w:lineRule="auto"/>
        <w:rPr>
          <w:rFonts w:ascii="Times New Roman" w:eastAsia="Times New Roman" w:hAnsi="Times New Roman" w:cs="Times New Roman"/>
          <w:i/>
          <w:sz w:val="24"/>
          <w:szCs w:val="20"/>
        </w:rPr>
      </w:pPr>
      <w:bookmarkStart w:id="1" w:name="OLE_LINK1"/>
      <w:bookmarkStart w:id="2" w:name="OLE_LINK2"/>
      <w:r w:rsidRPr="006C6405">
        <w:rPr>
          <w:rFonts w:ascii="Times New Roman" w:eastAsia="Times New Roman" w:hAnsi="Times New Roman" w:cs="Times New Roman"/>
          <w:i/>
          <w:sz w:val="24"/>
          <w:szCs w:val="20"/>
        </w:rPr>
        <w:t xml:space="preserve">If the assessment of provider availability indicates potential for network development, the LMHA must initiate procurement.  25 TAC §412.754 describes the conditions under which an LMHA may continue to provide services when there are available and appropriate external providers.  Include plans to procure complete levels of care or specialty services from provider organizations.  Do not include procurement for individual practitioners to provide discrete services.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Complete the following table, inserting additional rows as need.</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Identify the service(s) to be procured.  Make a separate entry for each service or combination of services that will be procured as a separate contracting unit. Specify Adult or Child if applicable.</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State the capacity to be procured, and the percent of total capacity for that service.</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Identify the geographic area for which the service will be procured:  all counties or name selected counties.</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State the method of procurement—open enrollment (RFA) or request for proposal.</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Document the planned begin and end dates for the procurement, and the planned contract start date.</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12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260"/>
        <w:gridCol w:w="1080"/>
        <w:gridCol w:w="2774"/>
        <w:gridCol w:w="1276"/>
        <w:gridCol w:w="1260"/>
        <w:gridCol w:w="1350"/>
      </w:tblGrid>
      <w:tr w:rsidR="006C6405" w:rsidRPr="006C6405" w:rsidTr="000D71D5">
        <w:tc>
          <w:tcPr>
            <w:tcW w:w="369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Service or Combination of Services to be Procured</w:t>
            </w:r>
          </w:p>
        </w:tc>
        <w:tc>
          <w:tcPr>
            <w:tcW w:w="126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Capacity to be Procured</w:t>
            </w:r>
          </w:p>
        </w:tc>
        <w:tc>
          <w:tcPr>
            <w:tcW w:w="108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Method (RFA or RFP)</w:t>
            </w:r>
          </w:p>
        </w:tc>
        <w:tc>
          <w:tcPr>
            <w:tcW w:w="2774"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Geographic Area(s) in Which Service(s) will be Procured</w:t>
            </w:r>
          </w:p>
        </w:tc>
        <w:tc>
          <w:tcPr>
            <w:tcW w:w="1276"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 xml:space="preserve">Posting Start Date  </w:t>
            </w:r>
          </w:p>
        </w:tc>
        <w:tc>
          <w:tcPr>
            <w:tcW w:w="126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Posting End Date</w:t>
            </w:r>
          </w:p>
        </w:tc>
        <w:tc>
          <w:tcPr>
            <w:tcW w:w="135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Contract Start Date</w:t>
            </w:r>
          </w:p>
        </w:tc>
      </w:tr>
      <w:tr w:rsidR="006C6405" w:rsidRPr="006C6405" w:rsidTr="000D71D5">
        <w:tc>
          <w:tcPr>
            <w:tcW w:w="369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0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277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76"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35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r w:rsidR="006C6405" w:rsidRPr="006C6405" w:rsidTr="000D71D5">
        <w:tc>
          <w:tcPr>
            <w:tcW w:w="369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0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277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76"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35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r w:rsidR="006C6405" w:rsidRPr="006C6405" w:rsidTr="000D71D5">
        <w:tc>
          <w:tcPr>
            <w:tcW w:w="369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0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277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76"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35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r w:rsidR="006C6405" w:rsidRPr="006C6405" w:rsidTr="000D71D5">
        <w:tc>
          <w:tcPr>
            <w:tcW w:w="369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08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2774"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76"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26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c>
          <w:tcPr>
            <w:tcW w:w="1350" w:type="dxa"/>
          </w:tcPr>
          <w:p w:rsidR="006C6405" w:rsidRPr="006C6405" w:rsidRDefault="006C6405" w:rsidP="006C6405">
            <w:pPr>
              <w:spacing w:before="60" w:after="60" w:line="240" w:lineRule="auto"/>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b/>
          <w:sz w:val="24"/>
          <w:szCs w:val="20"/>
        </w:rPr>
      </w:pPr>
    </w:p>
    <w:p w:rsidR="006C6405" w:rsidRPr="006C6405" w:rsidRDefault="006C6405" w:rsidP="006C6405">
      <w:pPr>
        <w:keepNext/>
        <w:shd w:val="clear" w:color="auto" w:fill="D9D9D9"/>
        <w:spacing w:before="240" w:after="60" w:line="240" w:lineRule="auto"/>
        <w:outlineLvl w:val="1"/>
        <w:rPr>
          <w:rFonts w:ascii="Arial" w:eastAsia="Times New Roman" w:hAnsi="Arial" w:cs="Arial"/>
          <w:b/>
          <w:bCs/>
          <w:i/>
          <w:iCs/>
          <w:sz w:val="28"/>
          <w:szCs w:val="28"/>
        </w:rPr>
      </w:pPr>
      <w:r w:rsidRPr="006C6405">
        <w:rPr>
          <w:rFonts w:ascii="Arial" w:eastAsia="Times New Roman" w:hAnsi="Arial" w:cs="Arial"/>
          <w:b/>
          <w:bCs/>
          <w:i/>
          <w:iCs/>
          <w:sz w:val="28"/>
          <w:szCs w:val="28"/>
        </w:rPr>
        <w:t>Rationale for Limitations</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lastRenderedPageBreak/>
        <w:t xml:space="preserve">NOTE:  Network development includes the addition of new provider organizations, services, or capacity to an LMHA’s external provider network.  </w:t>
      </w:r>
    </w:p>
    <w:p w:rsidR="006C6405" w:rsidRPr="006C6405" w:rsidRDefault="006C6405" w:rsidP="006C6405">
      <w:pPr>
        <w:spacing w:after="0" w:line="240" w:lineRule="auto"/>
        <w:rPr>
          <w:rFonts w:ascii="Times New Roman" w:eastAsia="Times New Roman" w:hAnsi="Times New Roman" w:cs="Times New Roman"/>
          <w:b/>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Complete the following table.  Please review 25 TAC §412.755 carefully to be sure the rationale addresses the requirements specified in the rule (See Appendix B).</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Based on the LMHA’s assessment of provider availability, respond to each of the following questions.  </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If the response to any question is Yes, provide a clear rationale for the restriction based on one of the conditions described in 25 TAC §412.755. </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If the restriction applies to multiple procurements, the rationale must address each of the restricted procurements or state that it is applicable to all of the restricted procurements.</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The rationale must provide a basis for the proposed level of restriction, including the volume of services to be provided by the LMHA.</w:t>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698"/>
        <w:gridCol w:w="803"/>
        <w:gridCol w:w="778"/>
        <w:gridCol w:w="6609"/>
      </w:tblGrid>
      <w:tr w:rsidR="006C6405" w:rsidRPr="006C6405" w:rsidTr="000D71D5">
        <w:tc>
          <w:tcPr>
            <w:tcW w:w="4698"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p>
        </w:tc>
        <w:tc>
          <w:tcPr>
            <w:tcW w:w="803"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Yes</w:t>
            </w:r>
          </w:p>
        </w:tc>
        <w:tc>
          <w:tcPr>
            <w:tcW w:w="778"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No</w:t>
            </w:r>
          </w:p>
        </w:tc>
        <w:tc>
          <w:tcPr>
            <w:tcW w:w="6609"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Rationale</w:t>
            </w:r>
          </w:p>
        </w:tc>
      </w:tr>
      <w:tr w:rsidR="006C6405" w:rsidRPr="006C6405" w:rsidTr="000D71D5">
        <w:tc>
          <w:tcPr>
            <w:tcW w:w="4698" w:type="dxa"/>
            <w:shd w:val="clear" w:color="auto" w:fill="auto"/>
          </w:tcPr>
          <w:p w:rsidR="006C6405" w:rsidRPr="006C6405" w:rsidRDefault="006C6405" w:rsidP="006C6405">
            <w:pPr>
              <w:numPr>
                <w:ilvl w:val="0"/>
                <w:numId w:val="4"/>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Are there any services with potential for network development that are not scheduled for procurement?</w:t>
            </w:r>
          </w:p>
        </w:tc>
        <w:tc>
          <w:tcPr>
            <w:tcW w:w="803"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778"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6609"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r>
      <w:tr w:rsidR="006C6405" w:rsidRPr="006C6405" w:rsidTr="000D71D5">
        <w:tc>
          <w:tcPr>
            <w:tcW w:w="4698" w:type="dxa"/>
            <w:shd w:val="clear" w:color="auto" w:fill="auto"/>
          </w:tcPr>
          <w:p w:rsidR="006C6405" w:rsidRPr="006C6405" w:rsidRDefault="006C6405" w:rsidP="006C6405">
            <w:pPr>
              <w:numPr>
                <w:ilvl w:val="0"/>
                <w:numId w:val="4"/>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Are any limitations being placed on percentage of total capacity or volume of services external providers will be able to provide for any service?</w:t>
            </w:r>
          </w:p>
        </w:tc>
        <w:tc>
          <w:tcPr>
            <w:tcW w:w="803"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778"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6609"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r>
      <w:tr w:rsidR="006C6405" w:rsidRPr="006C6405" w:rsidTr="000D71D5">
        <w:tc>
          <w:tcPr>
            <w:tcW w:w="4698" w:type="dxa"/>
            <w:shd w:val="clear" w:color="auto" w:fill="auto"/>
          </w:tcPr>
          <w:p w:rsidR="006C6405" w:rsidRPr="006C6405" w:rsidRDefault="006C6405" w:rsidP="006C6405">
            <w:pPr>
              <w:numPr>
                <w:ilvl w:val="0"/>
                <w:numId w:val="4"/>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Are any of the procurements limited to certain counties within the local service area?</w:t>
            </w:r>
            <w:r w:rsidRPr="006C6405">
              <w:rPr>
                <w:rFonts w:ascii="Times New Roman" w:eastAsia="Times New Roman" w:hAnsi="Times New Roman" w:cs="Times New Roman"/>
                <w:sz w:val="24"/>
                <w:szCs w:val="20"/>
              </w:rPr>
              <w:tab/>
            </w:r>
          </w:p>
        </w:tc>
        <w:tc>
          <w:tcPr>
            <w:tcW w:w="803"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778"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6609"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r>
      <w:tr w:rsidR="006C6405" w:rsidRPr="006C6405" w:rsidTr="000D71D5">
        <w:tc>
          <w:tcPr>
            <w:tcW w:w="4698" w:type="dxa"/>
            <w:shd w:val="clear" w:color="auto" w:fill="auto"/>
          </w:tcPr>
          <w:p w:rsidR="006C6405" w:rsidRPr="006C6405" w:rsidRDefault="006C6405" w:rsidP="006C6405">
            <w:pPr>
              <w:numPr>
                <w:ilvl w:val="0"/>
                <w:numId w:val="4"/>
              </w:num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Is there a limitation on the number of providers that will be accepted for any of the procurements?</w:t>
            </w:r>
          </w:p>
        </w:tc>
        <w:tc>
          <w:tcPr>
            <w:tcW w:w="803"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778"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c>
          <w:tcPr>
            <w:tcW w:w="6609" w:type="dxa"/>
            <w:shd w:val="clear" w:color="auto" w:fill="auto"/>
          </w:tcPr>
          <w:p w:rsidR="006C6405" w:rsidRPr="006C6405" w:rsidRDefault="006C6405" w:rsidP="006C6405">
            <w:pPr>
              <w:spacing w:after="0" w:line="240" w:lineRule="auto"/>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b/>
      </w:r>
      <w:r w:rsidRPr="006C6405">
        <w:rPr>
          <w:rFonts w:ascii="Times New Roman" w:eastAsia="Times New Roman" w:hAnsi="Times New Roman" w:cs="Times New Roman"/>
          <w:sz w:val="24"/>
          <w:szCs w:val="20"/>
        </w:rPr>
        <w:tab/>
      </w: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lastRenderedPageBreak/>
        <w:t xml:space="preserve">If the LMHA will not be procuring all available capacity offered by external contractors for one or more services, identify the planned transition period and the year in which the LMHA anticipates procuring the full external provider capacity currently available (not to exceed the LMHA’s capacity).   </w:t>
      </w:r>
      <w:r w:rsidRPr="006C6405">
        <w:rPr>
          <w:rFonts w:ascii="Times New Roman" w:eastAsia="Times New Roman" w:hAnsi="Times New Roman" w:cs="Times New Roman"/>
          <w:i/>
          <w:sz w:val="24"/>
          <w:szCs w:val="20"/>
        </w:rPr>
        <w:tab/>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6C6405" w:rsidRPr="006C6405" w:rsidTr="000D71D5">
        <w:tc>
          <w:tcPr>
            <w:tcW w:w="4392"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Service</w:t>
            </w:r>
          </w:p>
        </w:tc>
        <w:tc>
          <w:tcPr>
            <w:tcW w:w="4392"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Transition Period</w:t>
            </w:r>
          </w:p>
        </w:tc>
        <w:tc>
          <w:tcPr>
            <w:tcW w:w="4392" w:type="dxa"/>
            <w:shd w:val="clear" w:color="auto" w:fill="F2F2F2"/>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Year of Full Procurement</w:t>
            </w:r>
          </w:p>
        </w:tc>
      </w:tr>
      <w:tr w:rsidR="006C6405" w:rsidRPr="006C6405" w:rsidTr="000D71D5">
        <w:tc>
          <w:tcPr>
            <w:tcW w:w="4392" w:type="dxa"/>
            <w:shd w:val="clear" w:color="auto" w:fill="auto"/>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392" w:type="dxa"/>
            <w:shd w:val="clear" w:color="auto" w:fill="auto"/>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392" w:type="dxa"/>
            <w:shd w:val="clear" w:color="auto" w:fill="auto"/>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r>
      <w:tr w:rsidR="006C6405" w:rsidRPr="006C6405" w:rsidTr="000D71D5">
        <w:tc>
          <w:tcPr>
            <w:tcW w:w="4392" w:type="dxa"/>
            <w:shd w:val="clear" w:color="auto" w:fill="auto"/>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392" w:type="dxa"/>
            <w:shd w:val="clear" w:color="auto" w:fill="auto"/>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392" w:type="dxa"/>
            <w:shd w:val="clear" w:color="auto" w:fill="auto"/>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sz w:val="24"/>
          <w:szCs w:val="20"/>
        </w:rPr>
      </w:pPr>
    </w:p>
    <w:bookmarkEnd w:id="1"/>
    <w:bookmarkEnd w:id="2"/>
    <w:p w:rsidR="006C6405" w:rsidRPr="006C6405" w:rsidRDefault="006C6405" w:rsidP="006C6405">
      <w:pPr>
        <w:spacing w:after="0" w:line="240" w:lineRule="auto"/>
        <w:ind w:left="360" w:hanging="360"/>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keepNext/>
        <w:shd w:val="clear" w:color="auto" w:fill="CCCCCC"/>
        <w:spacing w:after="60" w:line="240" w:lineRule="auto"/>
        <w:outlineLvl w:val="1"/>
        <w:rPr>
          <w:rFonts w:ascii="Arial" w:eastAsia="Times New Roman" w:hAnsi="Arial" w:cs="Arial"/>
          <w:b/>
          <w:bCs/>
          <w:i/>
          <w:iCs/>
          <w:sz w:val="28"/>
          <w:szCs w:val="28"/>
        </w:rPr>
      </w:pPr>
      <w:r w:rsidRPr="006C6405">
        <w:rPr>
          <w:rFonts w:ascii="Arial" w:eastAsia="Times New Roman" w:hAnsi="Arial" w:cs="Arial"/>
          <w:b/>
          <w:bCs/>
          <w:i/>
          <w:iCs/>
          <w:sz w:val="28"/>
          <w:szCs w:val="28"/>
        </w:rPr>
        <w:t>Capacity Development</w:t>
      </w:r>
    </w:p>
    <w:p w:rsidR="006C6405" w:rsidRPr="006C6405" w:rsidRDefault="006C6405" w:rsidP="006C6405">
      <w:pPr>
        <w:spacing w:after="0" w:line="240" w:lineRule="auto"/>
        <w:ind w:left="-15"/>
        <w:rPr>
          <w:rFonts w:ascii="Times New Roman" w:eastAsia="Times New Roman" w:hAnsi="Times New Roman" w:cs="Times New Roman"/>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Using bullet format, describe the strategies the LMHA will use to minimize overhead and administrative costs and achieve purchasing and other administrative efficiencies.  </w:t>
      </w:r>
    </w:p>
    <w:p w:rsidR="006C6405" w:rsidRPr="006C6405" w:rsidRDefault="006C6405" w:rsidP="006C6405">
      <w:pPr>
        <w:numPr>
          <w:ilvl w:val="0"/>
          <w:numId w:val="2"/>
        </w:numPr>
        <w:spacing w:after="0" w:line="240" w:lineRule="auto"/>
        <w:rPr>
          <w:rFonts w:ascii="Times New Roman" w:eastAsia="Times New Roman" w:hAnsi="Times New Roman" w:cs="Times New Roman"/>
          <w:sz w:val="24"/>
          <w:szCs w:val="20"/>
        </w:rPr>
      </w:pPr>
    </w:p>
    <w:p w:rsidR="006C6405" w:rsidRPr="006C6405" w:rsidRDefault="006C6405" w:rsidP="006C6405">
      <w:pPr>
        <w:numPr>
          <w:ilvl w:val="0"/>
          <w:numId w:val="2"/>
        </w:num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 List partnerships with other LMHAs related to planning, administration, purchasing and procurement or other authority functions, or service delivery.  Include only current, ongoing partnerships.</w:t>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872"/>
        <w:gridCol w:w="6648"/>
      </w:tblGrid>
      <w:tr w:rsidR="006C6405" w:rsidRPr="006C6405" w:rsidTr="000D71D5">
        <w:tc>
          <w:tcPr>
            <w:tcW w:w="144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Start Date</w:t>
            </w:r>
          </w:p>
        </w:tc>
        <w:tc>
          <w:tcPr>
            <w:tcW w:w="4872"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Partner(s)</w:t>
            </w:r>
          </w:p>
        </w:tc>
        <w:tc>
          <w:tcPr>
            <w:tcW w:w="6648"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Functions</w:t>
            </w:r>
          </w:p>
        </w:tc>
      </w:tr>
      <w:tr w:rsidR="006C6405" w:rsidRPr="006C6405" w:rsidTr="000D71D5">
        <w:tc>
          <w:tcPr>
            <w:tcW w:w="144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872"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6648"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r>
      <w:tr w:rsidR="006C6405" w:rsidRPr="006C6405" w:rsidTr="000D71D5">
        <w:tc>
          <w:tcPr>
            <w:tcW w:w="144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872"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6648"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r>
      <w:tr w:rsidR="006C6405" w:rsidRPr="006C6405" w:rsidTr="000D71D5">
        <w:tc>
          <w:tcPr>
            <w:tcW w:w="144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872"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6648"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b/>
          <w:sz w:val="24"/>
          <w:szCs w:val="20"/>
          <w:u w:val="single"/>
        </w:rPr>
      </w:pPr>
    </w:p>
    <w:p w:rsidR="006C6405" w:rsidRPr="006C6405" w:rsidRDefault="006C6405" w:rsidP="006C6405">
      <w:pPr>
        <w:spacing w:after="0" w:line="240" w:lineRule="auto"/>
        <w:rPr>
          <w:rFonts w:ascii="Times New Roman" w:eastAsia="Times New Roman" w:hAnsi="Times New Roman" w:cs="Times New Roman"/>
          <w:b/>
          <w:sz w:val="24"/>
          <w:szCs w:val="20"/>
          <w:u w:val="single"/>
        </w:rPr>
      </w:pP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 xml:space="preserve"> In the table below, document your procurement activity since the submission of your 2012 LPND Plan.  Include procurements implemented as part of the LPND plan and any other </w:t>
      </w:r>
      <w:proofErr w:type="gramStart"/>
      <w:r w:rsidRPr="006C6405">
        <w:rPr>
          <w:rFonts w:ascii="Times New Roman" w:eastAsia="Times New Roman" w:hAnsi="Times New Roman" w:cs="Times New Roman"/>
          <w:i/>
          <w:sz w:val="24"/>
          <w:szCs w:val="20"/>
        </w:rPr>
        <w:t>procurements</w:t>
      </w:r>
      <w:proofErr w:type="gramEnd"/>
      <w:r w:rsidRPr="006C6405">
        <w:rPr>
          <w:rFonts w:ascii="Times New Roman" w:eastAsia="Times New Roman" w:hAnsi="Times New Roman" w:cs="Times New Roman"/>
          <w:i/>
          <w:sz w:val="24"/>
          <w:szCs w:val="20"/>
        </w:rPr>
        <w:t xml:space="preserve"> for complete levels of care and specialty services that have been conducted.   </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lastRenderedPageBreak/>
        <w:t>List each service separately, including the percent of capacity offered and the geographic area in which the service was procured.</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State the results, including the number of providers obtained and the percent of service capacity contracted as a result of the procurement. If no providers were obtained as a result of procurement efforts, state “none.”</w:t>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4770"/>
      </w:tblGrid>
      <w:tr w:rsidR="006C6405" w:rsidRPr="006C6405" w:rsidTr="000D71D5">
        <w:tc>
          <w:tcPr>
            <w:tcW w:w="1260" w:type="dxa"/>
            <w:shd w:val="clear" w:color="auto" w:fill="F3F3F3"/>
          </w:tcPr>
          <w:p w:rsidR="006C6405" w:rsidRPr="006C6405" w:rsidRDefault="006C6405" w:rsidP="006C6405">
            <w:pPr>
              <w:spacing w:before="60" w:after="60" w:line="240" w:lineRule="auto"/>
              <w:ind w:left="360"/>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Year</w:t>
            </w:r>
          </w:p>
        </w:tc>
        <w:tc>
          <w:tcPr>
            <w:tcW w:w="6390" w:type="dxa"/>
            <w:shd w:val="clear" w:color="auto" w:fill="F3F3F3"/>
          </w:tcPr>
          <w:p w:rsidR="006C6405" w:rsidRPr="006C6405" w:rsidRDefault="006C6405" w:rsidP="006C6405">
            <w:pPr>
              <w:spacing w:before="60" w:after="60" w:line="240" w:lineRule="auto"/>
              <w:ind w:left="360"/>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Procurement (Service, Percent of Capacity, Geographic Area)</w:t>
            </w:r>
          </w:p>
        </w:tc>
        <w:tc>
          <w:tcPr>
            <w:tcW w:w="4770" w:type="dxa"/>
            <w:shd w:val="clear" w:color="auto" w:fill="F3F3F3"/>
          </w:tcPr>
          <w:p w:rsidR="006C6405" w:rsidRPr="006C6405" w:rsidRDefault="006C6405" w:rsidP="006C6405">
            <w:pPr>
              <w:spacing w:before="60" w:after="60" w:line="240" w:lineRule="auto"/>
              <w:ind w:left="360" w:right="1332"/>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Results (Providers and Capacity)</w:t>
            </w:r>
          </w:p>
        </w:tc>
      </w:tr>
      <w:tr w:rsidR="006C6405" w:rsidRPr="006C6405" w:rsidTr="000D71D5">
        <w:tc>
          <w:tcPr>
            <w:tcW w:w="126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639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770" w:type="dxa"/>
          </w:tcPr>
          <w:p w:rsidR="006C6405" w:rsidRPr="006C6405" w:rsidRDefault="006C6405" w:rsidP="006C6405">
            <w:pPr>
              <w:spacing w:before="60" w:after="60" w:line="240" w:lineRule="auto"/>
              <w:ind w:left="360" w:right="1332"/>
              <w:rPr>
                <w:rFonts w:ascii="Times New Roman" w:eastAsia="Times New Roman" w:hAnsi="Times New Roman" w:cs="Times New Roman"/>
                <w:sz w:val="24"/>
                <w:szCs w:val="20"/>
              </w:rPr>
            </w:pPr>
          </w:p>
        </w:tc>
      </w:tr>
      <w:tr w:rsidR="006C6405" w:rsidRPr="006C6405" w:rsidTr="000D71D5">
        <w:tc>
          <w:tcPr>
            <w:tcW w:w="126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6390" w:type="dxa"/>
          </w:tcPr>
          <w:p w:rsidR="006C6405" w:rsidRPr="006C6405" w:rsidRDefault="006C6405" w:rsidP="006C6405">
            <w:pPr>
              <w:spacing w:before="60" w:after="60" w:line="240" w:lineRule="auto"/>
              <w:ind w:left="360"/>
              <w:rPr>
                <w:rFonts w:ascii="Times New Roman" w:eastAsia="Times New Roman" w:hAnsi="Times New Roman" w:cs="Times New Roman"/>
                <w:sz w:val="24"/>
                <w:szCs w:val="20"/>
              </w:rPr>
            </w:pPr>
          </w:p>
        </w:tc>
        <w:tc>
          <w:tcPr>
            <w:tcW w:w="4770" w:type="dxa"/>
          </w:tcPr>
          <w:p w:rsidR="006C6405" w:rsidRPr="006C6405" w:rsidRDefault="006C6405" w:rsidP="006C6405">
            <w:pPr>
              <w:spacing w:before="60" w:after="60" w:line="240" w:lineRule="auto"/>
              <w:ind w:left="360" w:right="1332"/>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b/>
          <w:sz w:val="24"/>
          <w:szCs w:val="20"/>
        </w:rPr>
      </w:pPr>
    </w:p>
    <w:p w:rsidR="006C6405" w:rsidRPr="006C6405" w:rsidRDefault="006C6405" w:rsidP="006C6405">
      <w:pPr>
        <w:spacing w:after="0" w:line="240" w:lineRule="auto"/>
        <w:rPr>
          <w:rFonts w:ascii="Times New Roman" w:eastAsia="Times New Roman" w:hAnsi="Times New Roman" w:cs="Times New Roman"/>
          <w:i/>
          <w:sz w:val="24"/>
          <w:szCs w:val="20"/>
        </w:rPr>
      </w:pPr>
    </w:p>
    <w:p w:rsidR="006C6405" w:rsidRPr="006C6405" w:rsidRDefault="006C6405" w:rsidP="006C6405">
      <w:p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br w:type="page"/>
      </w:r>
    </w:p>
    <w:p w:rsidR="006C6405" w:rsidRPr="006C6405" w:rsidRDefault="006C6405" w:rsidP="006C6405">
      <w:pPr>
        <w:keepNext/>
        <w:spacing w:before="240" w:after="60" w:line="240" w:lineRule="auto"/>
        <w:outlineLvl w:val="0"/>
        <w:rPr>
          <w:rFonts w:ascii="Calibri Light" w:eastAsia="Times New Roman" w:hAnsi="Calibri Light" w:cs="Times New Roman"/>
          <w:b/>
          <w:bCs/>
          <w:kern w:val="32"/>
          <w:sz w:val="48"/>
          <w:szCs w:val="32"/>
        </w:rPr>
      </w:pPr>
      <w:r w:rsidRPr="006C6405">
        <w:rPr>
          <w:rFonts w:ascii="Calibri Light" w:eastAsia="Times New Roman" w:hAnsi="Calibri Light" w:cs="Times New Roman"/>
          <w:b/>
          <w:bCs/>
          <w:kern w:val="32"/>
          <w:sz w:val="48"/>
          <w:szCs w:val="32"/>
        </w:rPr>
        <w:lastRenderedPageBreak/>
        <w:t>PART III:  Required for all LMHAs</w:t>
      </w:r>
    </w:p>
    <w:p w:rsidR="006C6405" w:rsidRPr="006C6405" w:rsidRDefault="006C6405" w:rsidP="006C6405">
      <w:pPr>
        <w:keepNext/>
        <w:shd w:val="clear" w:color="auto" w:fill="D9D9D9"/>
        <w:spacing w:before="240" w:after="60" w:line="240" w:lineRule="auto"/>
        <w:outlineLvl w:val="1"/>
        <w:rPr>
          <w:rFonts w:ascii="Arial" w:eastAsia="Times New Roman" w:hAnsi="Arial" w:cs="Arial"/>
          <w:b/>
          <w:bCs/>
          <w:i/>
          <w:iCs/>
          <w:sz w:val="28"/>
          <w:szCs w:val="28"/>
        </w:rPr>
      </w:pPr>
      <w:r w:rsidRPr="006C6405">
        <w:rPr>
          <w:rFonts w:ascii="Arial" w:eastAsia="Times New Roman" w:hAnsi="Arial" w:cs="Arial"/>
          <w:b/>
          <w:bCs/>
          <w:i/>
          <w:iCs/>
          <w:sz w:val="28"/>
          <w:szCs w:val="28"/>
        </w:rPr>
        <w:t>PNAC Involvement</w:t>
      </w:r>
    </w:p>
    <w:p w:rsidR="006C6405" w:rsidRPr="006C6405" w:rsidRDefault="006C6405" w:rsidP="006C6405">
      <w:pPr>
        <w:numPr>
          <w:ilvl w:val="0"/>
          <w:numId w:val="1"/>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Show the involvement of the Planning and Network Advisory Committee (PNAC) in the table below.  PNAC activities should include input into the development of the plan and review of the draft plan.  Briefly document the activity and the committee’s recommendations.</w:t>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160"/>
      </w:tblGrid>
      <w:tr w:rsidR="006C6405" w:rsidRPr="006C6405" w:rsidTr="000D71D5">
        <w:tc>
          <w:tcPr>
            <w:tcW w:w="162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Date</w:t>
            </w:r>
          </w:p>
        </w:tc>
        <w:tc>
          <w:tcPr>
            <w:tcW w:w="11160" w:type="dxa"/>
            <w:shd w:val="clear" w:color="auto" w:fill="F3F3F3"/>
          </w:tcPr>
          <w:p w:rsidR="006C6405" w:rsidRPr="006C6405" w:rsidRDefault="006C6405" w:rsidP="006C6405">
            <w:pPr>
              <w:spacing w:after="0" w:line="240" w:lineRule="auto"/>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PNAC Activity and Recommendations</w:t>
            </w:r>
          </w:p>
        </w:tc>
      </w:tr>
      <w:tr w:rsidR="006C6405" w:rsidRPr="006C6405" w:rsidTr="000D71D5">
        <w:tc>
          <w:tcPr>
            <w:tcW w:w="1620" w:type="dxa"/>
          </w:tcPr>
          <w:p w:rsidR="006C6405" w:rsidRPr="006C6405" w:rsidRDefault="006C6405" w:rsidP="006C6405">
            <w:pPr>
              <w:spacing w:before="40" w:after="4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11/12/2015</w:t>
            </w:r>
          </w:p>
        </w:tc>
        <w:tc>
          <w:tcPr>
            <w:tcW w:w="11160" w:type="dxa"/>
          </w:tcPr>
          <w:p w:rsidR="006C6405" w:rsidRPr="006C6405" w:rsidRDefault="006C6405" w:rsidP="006C6405">
            <w:pPr>
              <w:spacing w:before="40" w:after="4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ETBHN RPNAC discussed upcoming LPND and scheduled reviews for its next quarterly meeting</w:t>
            </w:r>
          </w:p>
        </w:tc>
      </w:tr>
      <w:tr w:rsidR="006C6405" w:rsidRPr="006C6405" w:rsidTr="000D71D5">
        <w:tc>
          <w:tcPr>
            <w:tcW w:w="1620" w:type="dxa"/>
          </w:tcPr>
          <w:p w:rsidR="006C6405" w:rsidRPr="006C6405" w:rsidRDefault="006C6405" w:rsidP="006C6405">
            <w:pPr>
              <w:spacing w:before="40" w:after="4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2/11/2016</w:t>
            </w:r>
          </w:p>
        </w:tc>
        <w:tc>
          <w:tcPr>
            <w:tcW w:w="11160" w:type="dxa"/>
          </w:tcPr>
          <w:p w:rsidR="006C6405" w:rsidRPr="006C6405" w:rsidRDefault="004E0EB0" w:rsidP="006C6405">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ETBHN RPNAC </w:t>
            </w:r>
            <w:r w:rsidR="006C6405" w:rsidRPr="006C6405">
              <w:rPr>
                <w:rFonts w:ascii="Times New Roman" w:eastAsia="Times New Roman" w:hAnsi="Times New Roman" w:cs="Times New Roman"/>
                <w:sz w:val="24"/>
                <w:szCs w:val="20"/>
              </w:rPr>
              <w:t xml:space="preserve"> review</w:t>
            </w:r>
            <w:r>
              <w:rPr>
                <w:rFonts w:ascii="Times New Roman" w:eastAsia="Times New Roman" w:hAnsi="Times New Roman" w:cs="Times New Roman"/>
                <w:sz w:val="24"/>
                <w:szCs w:val="20"/>
              </w:rPr>
              <w:t>ed</w:t>
            </w:r>
            <w:r w:rsidR="006C6405" w:rsidRPr="006C6405">
              <w:rPr>
                <w:rFonts w:ascii="Times New Roman" w:eastAsia="Times New Roman" w:hAnsi="Times New Roman" w:cs="Times New Roman"/>
                <w:sz w:val="24"/>
                <w:szCs w:val="20"/>
              </w:rPr>
              <w:t>, provide</w:t>
            </w:r>
            <w:r>
              <w:rPr>
                <w:rFonts w:ascii="Times New Roman" w:eastAsia="Times New Roman" w:hAnsi="Times New Roman" w:cs="Times New Roman"/>
                <w:sz w:val="24"/>
                <w:szCs w:val="20"/>
              </w:rPr>
              <w:t>d</w:t>
            </w:r>
            <w:r w:rsidR="006C6405" w:rsidRPr="006C6405">
              <w:rPr>
                <w:rFonts w:ascii="Times New Roman" w:eastAsia="Times New Roman" w:hAnsi="Times New Roman" w:cs="Times New Roman"/>
                <w:sz w:val="24"/>
                <w:szCs w:val="20"/>
              </w:rPr>
              <w:t xml:space="preserve"> comments,  and approve</w:t>
            </w:r>
            <w:r>
              <w:rPr>
                <w:rFonts w:ascii="Times New Roman" w:eastAsia="Times New Roman" w:hAnsi="Times New Roman" w:cs="Times New Roman"/>
                <w:sz w:val="24"/>
                <w:szCs w:val="20"/>
              </w:rPr>
              <w:t>d</w:t>
            </w:r>
            <w:r w:rsidR="006C6405" w:rsidRPr="006C6405">
              <w:rPr>
                <w:rFonts w:ascii="Times New Roman" w:eastAsia="Times New Roman" w:hAnsi="Times New Roman" w:cs="Times New Roman"/>
                <w:sz w:val="24"/>
                <w:szCs w:val="20"/>
              </w:rPr>
              <w:t xml:space="preserve"> member Center draft plans</w:t>
            </w:r>
          </w:p>
        </w:tc>
      </w:tr>
      <w:tr w:rsidR="006C6405" w:rsidRPr="006C6405" w:rsidTr="000D71D5">
        <w:tc>
          <w:tcPr>
            <w:tcW w:w="1620" w:type="dxa"/>
          </w:tcPr>
          <w:p w:rsidR="006C6405" w:rsidRPr="006C6405" w:rsidRDefault="006C6405" w:rsidP="006C6405">
            <w:pPr>
              <w:spacing w:before="40" w:after="40" w:line="240" w:lineRule="auto"/>
              <w:rPr>
                <w:rFonts w:ascii="Times New Roman" w:eastAsia="Times New Roman" w:hAnsi="Times New Roman" w:cs="Times New Roman"/>
                <w:sz w:val="24"/>
                <w:szCs w:val="20"/>
              </w:rPr>
            </w:pPr>
          </w:p>
        </w:tc>
        <w:tc>
          <w:tcPr>
            <w:tcW w:w="11160" w:type="dxa"/>
          </w:tcPr>
          <w:p w:rsidR="006C6405" w:rsidRPr="006C6405" w:rsidRDefault="006C6405" w:rsidP="006C6405">
            <w:pPr>
              <w:spacing w:before="40" w:after="40" w:line="240" w:lineRule="auto"/>
              <w:rPr>
                <w:rFonts w:ascii="Times New Roman" w:eastAsia="Times New Roman" w:hAnsi="Times New Roman" w:cs="Times New Roman"/>
                <w:sz w:val="24"/>
                <w:szCs w:val="20"/>
              </w:rPr>
            </w:pPr>
          </w:p>
        </w:tc>
      </w:tr>
    </w:tbl>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br w:type="page"/>
      </w:r>
    </w:p>
    <w:p w:rsidR="006C6405" w:rsidRPr="006C6405" w:rsidRDefault="006C6405" w:rsidP="006C6405">
      <w:pPr>
        <w:keepNext/>
        <w:shd w:val="clear" w:color="auto" w:fill="CCCCCC"/>
        <w:spacing w:after="60" w:line="240" w:lineRule="auto"/>
        <w:outlineLvl w:val="2"/>
        <w:rPr>
          <w:rFonts w:ascii="Arial" w:eastAsia="Times New Roman" w:hAnsi="Arial" w:cs="Arial"/>
          <w:b/>
          <w:bCs/>
          <w:i/>
          <w:sz w:val="28"/>
          <w:szCs w:val="28"/>
        </w:rPr>
      </w:pPr>
      <w:r w:rsidRPr="006C6405">
        <w:rPr>
          <w:rFonts w:ascii="Arial" w:eastAsia="Times New Roman" w:hAnsi="Arial" w:cs="Arial"/>
          <w:b/>
          <w:bCs/>
          <w:i/>
          <w:sz w:val="28"/>
          <w:szCs w:val="28"/>
        </w:rPr>
        <w:lastRenderedPageBreak/>
        <w:t>Stakeholder Comments on Draft Plan and LMHA Response</w:t>
      </w:r>
    </w:p>
    <w:p w:rsidR="006C6405" w:rsidRPr="006C6405" w:rsidRDefault="006C6405" w:rsidP="006C6405">
      <w:p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Allow at least 30 days for public comment on draft plan. Do not post plans for public comment before January 6, 2016.</w:t>
      </w:r>
    </w:p>
    <w:p w:rsidR="006C6405" w:rsidRPr="006C6405" w:rsidRDefault="006C6405" w:rsidP="006C6405">
      <w:p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In the following table, summarize the public comments received on the draft plan. If no comments were received, state “None.” Use a separate line for each major point identified during the public comment period, and identify the stakeholder group(s) offering the comment.  Describe the LMHA’s response, which might include:</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Accepting the comment in full and making corresponding modifications to the plan;</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Accepting the comment in part and making corresponding modifications to the plan; or</w:t>
      </w:r>
    </w:p>
    <w:p w:rsidR="006C6405" w:rsidRPr="006C6405" w:rsidRDefault="006C6405" w:rsidP="006C6405">
      <w:pPr>
        <w:numPr>
          <w:ilvl w:val="0"/>
          <w:numId w:val="2"/>
        </w:numPr>
        <w:spacing w:after="0" w:line="240" w:lineRule="auto"/>
        <w:rPr>
          <w:rFonts w:ascii="Times New Roman" w:eastAsia="Times New Roman" w:hAnsi="Times New Roman" w:cs="Times New Roman"/>
          <w:i/>
          <w:sz w:val="24"/>
          <w:szCs w:val="20"/>
        </w:rPr>
      </w:pPr>
      <w:r w:rsidRPr="006C6405">
        <w:rPr>
          <w:rFonts w:ascii="Times New Roman" w:eastAsia="Times New Roman" w:hAnsi="Times New Roman" w:cs="Times New Roman"/>
          <w:i/>
          <w:sz w:val="24"/>
          <w:szCs w:val="20"/>
        </w:rPr>
        <w:t>Rejecting the comment.  Please explain the LMHA’s rationale for rejecting the comment.</w:t>
      </w:r>
    </w:p>
    <w:p w:rsidR="006C6405" w:rsidRPr="006C6405" w:rsidRDefault="006C6405" w:rsidP="006C6405">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2291"/>
        <w:gridCol w:w="6122"/>
      </w:tblGrid>
      <w:tr w:rsidR="006C6405" w:rsidRPr="006C6405" w:rsidTr="000D71D5">
        <w:tc>
          <w:tcPr>
            <w:tcW w:w="4763"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4"/>
              </w:rPr>
            </w:pPr>
            <w:r w:rsidRPr="006C6405">
              <w:rPr>
                <w:rFonts w:ascii="Times New Roman" w:eastAsia="Times New Roman" w:hAnsi="Times New Roman" w:cs="Times New Roman"/>
                <w:b/>
                <w:sz w:val="24"/>
                <w:szCs w:val="24"/>
              </w:rPr>
              <w:t>Comment</w:t>
            </w:r>
          </w:p>
        </w:tc>
        <w:tc>
          <w:tcPr>
            <w:tcW w:w="2291"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4"/>
              </w:rPr>
            </w:pPr>
            <w:r w:rsidRPr="006C6405">
              <w:rPr>
                <w:rFonts w:ascii="Times New Roman" w:eastAsia="Times New Roman" w:hAnsi="Times New Roman" w:cs="Times New Roman"/>
                <w:b/>
                <w:sz w:val="24"/>
                <w:szCs w:val="24"/>
              </w:rPr>
              <w:t xml:space="preserve">Stakeholder Group(s) </w:t>
            </w:r>
          </w:p>
        </w:tc>
        <w:tc>
          <w:tcPr>
            <w:tcW w:w="6122" w:type="dxa"/>
            <w:shd w:val="clear" w:color="auto" w:fill="F3F3F3"/>
          </w:tcPr>
          <w:p w:rsidR="006C6405" w:rsidRPr="006C6405" w:rsidRDefault="006C6405" w:rsidP="006C6405">
            <w:pPr>
              <w:spacing w:before="60" w:after="60" w:line="240" w:lineRule="auto"/>
              <w:rPr>
                <w:rFonts w:ascii="Times New Roman" w:eastAsia="Times New Roman" w:hAnsi="Times New Roman" w:cs="Times New Roman"/>
                <w:b/>
                <w:sz w:val="24"/>
                <w:szCs w:val="24"/>
              </w:rPr>
            </w:pPr>
            <w:r w:rsidRPr="006C6405">
              <w:rPr>
                <w:rFonts w:ascii="Times New Roman" w:eastAsia="Times New Roman" w:hAnsi="Times New Roman" w:cs="Times New Roman"/>
                <w:b/>
                <w:sz w:val="24"/>
                <w:szCs w:val="24"/>
              </w:rPr>
              <w:t xml:space="preserve">LMHA Response and Rationale </w:t>
            </w:r>
          </w:p>
        </w:tc>
      </w:tr>
      <w:tr w:rsidR="006C6405" w:rsidRPr="006C6405" w:rsidTr="000D71D5">
        <w:tc>
          <w:tcPr>
            <w:tcW w:w="4763" w:type="dxa"/>
          </w:tcPr>
          <w:p w:rsidR="006C6405" w:rsidRPr="006C6405" w:rsidRDefault="004E0EB0" w:rsidP="006C640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r w:rsidR="006C6405" w:rsidRPr="006C6405" w:rsidTr="000D71D5">
        <w:tc>
          <w:tcPr>
            <w:tcW w:w="4763"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2291"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c>
          <w:tcPr>
            <w:tcW w:w="6122" w:type="dxa"/>
          </w:tcPr>
          <w:p w:rsidR="006C6405" w:rsidRPr="006C6405" w:rsidRDefault="006C6405" w:rsidP="006C6405">
            <w:pPr>
              <w:spacing w:before="60" w:after="60" w:line="240" w:lineRule="auto"/>
              <w:rPr>
                <w:rFonts w:ascii="Times New Roman" w:eastAsia="Times New Roman" w:hAnsi="Times New Roman" w:cs="Times New Roman"/>
                <w:sz w:val="20"/>
                <w:szCs w:val="20"/>
              </w:rPr>
            </w:pPr>
          </w:p>
        </w:tc>
      </w:tr>
    </w:tbl>
    <w:p w:rsidR="006C6405" w:rsidRPr="006C6405" w:rsidRDefault="006C6405" w:rsidP="006C6405">
      <w:pPr>
        <w:keepNext/>
        <w:spacing w:before="240" w:after="60" w:line="240" w:lineRule="auto"/>
        <w:outlineLvl w:val="2"/>
        <w:rPr>
          <w:rFonts w:ascii="Arial" w:eastAsia="Times New Roman" w:hAnsi="Arial" w:cs="Arial"/>
          <w:b/>
          <w:bCs/>
          <w:sz w:val="24"/>
          <w:szCs w:val="26"/>
        </w:rPr>
      </w:pPr>
      <w:r w:rsidRPr="006C6405">
        <w:rPr>
          <w:rFonts w:ascii="Arial" w:eastAsia="Times New Roman" w:hAnsi="Arial" w:cs="Arial"/>
          <w:b/>
          <w:bCs/>
          <w:sz w:val="24"/>
          <w:szCs w:val="26"/>
        </w:rPr>
        <w:t xml:space="preserve">COMPLETE AND SUBMIT ENTIRE PLAN TO </w:t>
      </w:r>
      <w:hyperlink r:id="rId7" w:history="1">
        <w:r w:rsidRPr="006C6405">
          <w:rPr>
            <w:rFonts w:ascii="Arial" w:eastAsia="Times New Roman" w:hAnsi="Arial" w:cs="Arial"/>
            <w:b/>
            <w:bCs/>
            <w:color w:val="0000FF"/>
            <w:sz w:val="26"/>
            <w:szCs w:val="26"/>
            <w:u w:val="single"/>
          </w:rPr>
          <w:t>performance.contracts@dshs.state.tx.us</w:t>
        </w:r>
      </w:hyperlink>
      <w:r w:rsidRPr="006C6405">
        <w:rPr>
          <w:rFonts w:ascii="Arial" w:eastAsia="Times New Roman" w:hAnsi="Arial" w:cs="Arial"/>
          <w:b/>
          <w:bCs/>
          <w:sz w:val="24"/>
          <w:szCs w:val="26"/>
        </w:rPr>
        <w:t xml:space="preserve"> by March 1, 2016.</w:t>
      </w:r>
    </w:p>
    <w:p w:rsidR="006C6405" w:rsidRPr="006C6405" w:rsidRDefault="006C6405" w:rsidP="006C6405">
      <w:pPr>
        <w:keepNext/>
        <w:spacing w:before="240" w:after="60" w:line="240" w:lineRule="auto"/>
        <w:jc w:val="center"/>
        <w:outlineLvl w:val="2"/>
        <w:rPr>
          <w:rFonts w:ascii="Arial" w:eastAsia="Times New Roman" w:hAnsi="Arial" w:cs="Arial"/>
          <w:b/>
          <w:bCs/>
          <w:sz w:val="24"/>
          <w:szCs w:val="26"/>
        </w:rPr>
      </w:pPr>
      <w:r w:rsidRPr="006C6405">
        <w:rPr>
          <w:rFonts w:ascii="Arial" w:eastAsia="Times New Roman" w:hAnsi="Arial" w:cs="Arial"/>
          <w:b/>
          <w:bCs/>
          <w:sz w:val="24"/>
          <w:szCs w:val="26"/>
        </w:rPr>
        <w:br w:type="page"/>
      </w:r>
      <w:r w:rsidRPr="006C6405">
        <w:rPr>
          <w:rFonts w:ascii="Arial" w:eastAsia="Times New Roman" w:hAnsi="Arial" w:cs="Arial"/>
          <w:b/>
          <w:bCs/>
          <w:sz w:val="24"/>
          <w:szCs w:val="26"/>
        </w:rPr>
        <w:lastRenderedPageBreak/>
        <w:t>Appendix A</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jc w:val="center"/>
        <w:rPr>
          <w:rFonts w:ascii="Times New Roman" w:eastAsia="Times New Roman" w:hAnsi="Times New Roman" w:cs="Times New Roman"/>
          <w:b/>
          <w:sz w:val="24"/>
          <w:szCs w:val="20"/>
        </w:rPr>
      </w:pPr>
      <w:r w:rsidRPr="006C6405">
        <w:rPr>
          <w:rFonts w:ascii="Times New Roman" w:eastAsia="Times New Roman" w:hAnsi="Times New Roman" w:cs="Times New Roman"/>
          <w:b/>
          <w:sz w:val="24"/>
          <w:szCs w:val="20"/>
        </w:rPr>
        <w:t>Assessing Provider Availability</w:t>
      </w:r>
    </w:p>
    <w:p w:rsidR="006C6405" w:rsidRPr="006C6405" w:rsidRDefault="006C6405" w:rsidP="006C6405">
      <w:pPr>
        <w:spacing w:after="0" w:line="240" w:lineRule="auto"/>
        <w:jc w:val="center"/>
        <w:rPr>
          <w:rFonts w:ascii="Times New Roman" w:eastAsia="Times New Roman" w:hAnsi="Times New Roman" w:cs="Times New Roman"/>
          <w:b/>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Provider organizations s can indicate interest in contracting with an LMHA through the DSHS website or by contacting the LMHA directly.  On the DSHS website, a provider organization can submit a Provider Inquiry Form that includes key information about the provider.  DSHS will notify both the provider and the LMHA when the Provider Inquiry Form is posted.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During its assessment of provider availability, it is the responsibility of the LMHA to contact potential providers to schedule a time for further discussion.  This discussion provides both the LMHA and the provider an opportunity to share information so that both parties can make a more informed decision about potential procurements.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The LMHA must work with the provider to find a mutually convenient time.  If the provider does not respond to the invitation or is not able to accommodate a teleconference or a site visit within 14 days of the LMHA’s initial contact, the LMHA may conclude that the provider is not interested in contracting with the LMHA.</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If the LMHA does not contact the provider, the LMHA must assume the provider is interested in contracting with the LMHA.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An LMHA may not eliminate the provider from consideration during the planning process without evidence that the provider is no longer interested or is clearly not qualified or capable of provider services in accordance with applicable state and local laws and regulations.</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keepNext/>
        <w:spacing w:before="240" w:after="60" w:line="240" w:lineRule="auto"/>
        <w:jc w:val="center"/>
        <w:outlineLvl w:val="2"/>
        <w:rPr>
          <w:rFonts w:ascii="Arial" w:eastAsia="Times New Roman" w:hAnsi="Arial" w:cs="Arial"/>
          <w:b/>
          <w:bCs/>
          <w:sz w:val="24"/>
          <w:szCs w:val="26"/>
        </w:rPr>
      </w:pPr>
      <w:r w:rsidRPr="006C6405">
        <w:rPr>
          <w:rFonts w:ascii="Arial" w:eastAsia="Times New Roman" w:hAnsi="Arial" w:cs="Arial"/>
          <w:b/>
          <w:bCs/>
          <w:sz w:val="24"/>
          <w:szCs w:val="26"/>
        </w:rPr>
        <w:br w:type="page"/>
      </w:r>
      <w:r w:rsidRPr="006C6405">
        <w:rPr>
          <w:rFonts w:ascii="Arial" w:eastAsia="Times New Roman" w:hAnsi="Arial" w:cs="Arial"/>
          <w:b/>
          <w:bCs/>
          <w:sz w:val="24"/>
          <w:szCs w:val="26"/>
        </w:rPr>
        <w:lastRenderedPageBreak/>
        <w:t>Appendix B</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b/>
          <w:sz w:val="24"/>
          <w:szCs w:val="20"/>
        </w:rPr>
      </w:pPr>
      <w:proofErr w:type="gramStart"/>
      <w:r w:rsidRPr="006C6405">
        <w:rPr>
          <w:rFonts w:ascii="Times New Roman" w:eastAsia="Times New Roman" w:hAnsi="Times New Roman" w:cs="Times New Roman"/>
          <w:b/>
          <w:sz w:val="24"/>
          <w:szCs w:val="20"/>
        </w:rPr>
        <w:t>25 TAC §412.755.</w:t>
      </w:r>
      <w:proofErr w:type="gramEnd"/>
      <w:r w:rsidRPr="006C6405">
        <w:rPr>
          <w:rFonts w:ascii="Times New Roman" w:eastAsia="Times New Roman" w:hAnsi="Times New Roman" w:cs="Times New Roman"/>
          <w:b/>
          <w:sz w:val="24"/>
          <w:szCs w:val="20"/>
        </w:rPr>
        <w:t xml:space="preserve"> </w:t>
      </w:r>
      <w:proofErr w:type="gramStart"/>
      <w:r w:rsidRPr="006C6405">
        <w:rPr>
          <w:rFonts w:ascii="Times New Roman" w:eastAsia="Times New Roman" w:hAnsi="Times New Roman" w:cs="Times New Roman"/>
          <w:b/>
          <w:sz w:val="24"/>
          <w:szCs w:val="20"/>
        </w:rPr>
        <w:t>Conditions Permitting LMHA Service Delivery.</w:t>
      </w:r>
      <w:proofErr w:type="gramEnd"/>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An LMHA may only provide </w:t>
      </w:r>
      <w:proofErr w:type="gramStart"/>
      <w:r w:rsidRPr="006C6405">
        <w:rPr>
          <w:rFonts w:ascii="Times New Roman" w:eastAsia="Times New Roman" w:hAnsi="Times New Roman" w:cs="Times New Roman"/>
          <w:sz w:val="24"/>
          <w:szCs w:val="20"/>
        </w:rPr>
        <w:t>services if one or more of the following conditions is</w:t>
      </w:r>
      <w:proofErr w:type="gramEnd"/>
      <w:r w:rsidRPr="006C6405">
        <w:rPr>
          <w:rFonts w:ascii="Times New Roman" w:eastAsia="Times New Roman" w:hAnsi="Times New Roman" w:cs="Times New Roman"/>
          <w:sz w:val="24"/>
          <w:szCs w:val="20"/>
        </w:rPr>
        <w:t xml:space="preserve"> present.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(1) The LMHA determines that interested, qualified providers are not available to provide services in the LMHA's service area or that no providers meet procurement specifications.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(2) The network of external providers does not provide the minimum level of individual choice.  A minimal level of individual choice is present if individuals and their legally authorized representatives can choose from two or more qualified providers.</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(3) 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(4) The combined volume of services delivered by external providers is not sufficient to meet 100 percent of the LMHA's service capacity for each level of care identified in the LMHA's plan.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(5) 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rsidR="006C6405" w:rsidRPr="006C6405" w:rsidRDefault="006C6405" w:rsidP="006C6405">
      <w:pPr>
        <w:spacing w:after="0" w:line="240" w:lineRule="auto"/>
        <w:rPr>
          <w:rFonts w:ascii="Times New Roman" w:eastAsia="Times New Roman" w:hAnsi="Times New Roman" w:cs="Times New Roman"/>
          <w:sz w:val="24"/>
          <w:szCs w:val="20"/>
        </w:rPr>
      </w:pPr>
    </w:p>
    <w:p w:rsidR="006C6405" w:rsidRPr="006C6405" w:rsidRDefault="006C6405" w:rsidP="006C6405">
      <w:pPr>
        <w:spacing w:after="0" w:line="240" w:lineRule="auto"/>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(6) The LMHA documents that it is necessary for the LMHA to provide specified services during the two-year period covered by the LMHA's plan to preserve critical infrastructure needed to ensure continuous provision of services. An LMHA relying on this condition must:</w:t>
      </w:r>
    </w:p>
    <w:p w:rsidR="006C6405" w:rsidRPr="006C6405" w:rsidRDefault="006C6405" w:rsidP="006C6405">
      <w:pPr>
        <w:spacing w:after="0" w:line="240" w:lineRule="auto"/>
        <w:ind w:firstLine="720"/>
        <w:rPr>
          <w:rFonts w:ascii="Times New Roman" w:eastAsia="Times New Roman" w:hAnsi="Times New Roman" w:cs="Times New Roman"/>
          <w:sz w:val="24"/>
          <w:szCs w:val="20"/>
        </w:rPr>
      </w:pPr>
    </w:p>
    <w:p w:rsidR="006C6405" w:rsidRPr="006C6405" w:rsidRDefault="006C6405" w:rsidP="006C6405">
      <w:pPr>
        <w:spacing w:after="0" w:line="240" w:lineRule="auto"/>
        <w:ind w:left="720"/>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(A) </w:t>
      </w:r>
      <w:proofErr w:type="gramStart"/>
      <w:r w:rsidRPr="006C6405">
        <w:rPr>
          <w:rFonts w:ascii="Times New Roman" w:eastAsia="Times New Roman" w:hAnsi="Times New Roman" w:cs="Times New Roman"/>
          <w:sz w:val="24"/>
          <w:szCs w:val="20"/>
        </w:rPr>
        <w:t>document</w:t>
      </w:r>
      <w:proofErr w:type="gramEnd"/>
      <w:r w:rsidRPr="006C6405">
        <w:rPr>
          <w:rFonts w:ascii="Times New Roman" w:eastAsia="Times New Roman" w:hAnsi="Times New Roman" w:cs="Times New Roman"/>
          <w:sz w:val="24"/>
          <w:szCs w:val="20"/>
        </w:rPr>
        <w:t xml:space="preserve"> that it has evaluated a range of other measures to ensure continuous delivery of services, including but not limited to those identified by the LANAC and the department at the beginning of each planning cycle;</w:t>
      </w:r>
    </w:p>
    <w:p w:rsidR="006C6405" w:rsidRPr="006C6405" w:rsidRDefault="006C6405" w:rsidP="006C6405">
      <w:pPr>
        <w:spacing w:after="0" w:line="240" w:lineRule="auto"/>
        <w:ind w:left="720"/>
        <w:rPr>
          <w:rFonts w:ascii="Times New Roman" w:eastAsia="Times New Roman" w:hAnsi="Times New Roman" w:cs="Times New Roman"/>
          <w:sz w:val="24"/>
          <w:szCs w:val="20"/>
        </w:rPr>
      </w:pPr>
    </w:p>
    <w:p w:rsidR="006C6405" w:rsidRPr="006C6405" w:rsidRDefault="006C6405" w:rsidP="006C6405">
      <w:pPr>
        <w:spacing w:after="0" w:line="240" w:lineRule="auto"/>
        <w:ind w:left="720"/>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(B) </w:t>
      </w:r>
      <w:proofErr w:type="gramStart"/>
      <w:r w:rsidRPr="006C6405">
        <w:rPr>
          <w:rFonts w:ascii="Times New Roman" w:eastAsia="Times New Roman" w:hAnsi="Times New Roman" w:cs="Times New Roman"/>
          <w:sz w:val="24"/>
          <w:szCs w:val="20"/>
        </w:rPr>
        <w:t>document</w:t>
      </w:r>
      <w:proofErr w:type="gramEnd"/>
      <w:r w:rsidRPr="006C6405">
        <w:rPr>
          <w:rFonts w:ascii="Times New Roman" w:eastAsia="Times New Roman" w:hAnsi="Times New Roman" w:cs="Times New Roman"/>
          <w:sz w:val="24"/>
          <w:szCs w:val="20"/>
        </w:rPr>
        <w:t xml:space="preserve"> implementation of appropriate other measures;</w:t>
      </w:r>
    </w:p>
    <w:p w:rsidR="006C6405" w:rsidRPr="006C6405" w:rsidRDefault="006C6405" w:rsidP="006C6405">
      <w:pPr>
        <w:spacing w:after="0" w:line="240" w:lineRule="auto"/>
        <w:ind w:left="720"/>
        <w:rPr>
          <w:rFonts w:ascii="Times New Roman" w:eastAsia="Times New Roman" w:hAnsi="Times New Roman" w:cs="Times New Roman"/>
          <w:sz w:val="24"/>
          <w:szCs w:val="20"/>
        </w:rPr>
      </w:pPr>
    </w:p>
    <w:p w:rsidR="006C6405" w:rsidRPr="006C6405" w:rsidRDefault="006C6405" w:rsidP="006C6405">
      <w:pPr>
        <w:spacing w:after="0" w:line="240" w:lineRule="auto"/>
        <w:ind w:left="720"/>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lastRenderedPageBreak/>
        <w:t xml:space="preserve">(C) </w:t>
      </w:r>
      <w:proofErr w:type="gramStart"/>
      <w:r w:rsidRPr="006C6405">
        <w:rPr>
          <w:rFonts w:ascii="Times New Roman" w:eastAsia="Times New Roman" w:hAnsi="Times New Roman" w:cs="Times New Roman"/>
          <w:sz w:val="24"/>
          <w:szCs w:val="20"/>
        </w:rPr>
        <w:t>identify</w:t>
      </w:r>
      <w:proofErr w:type="gramEnd"/>
      <w:r w:rsidRPr="006C6405">
        <w:rPr>
          <w:rFonts w:ascii="Times New Roman" w:eastAsia="Times New Roman" w:hAnsi="Times New Roman" w:cs="Times New Roman"/>
          <w:sz w:val="24"/>
          <w:szCs w:val="20"/>
        </w:rPr>
        <w:t xml:space="preserve"> a timeframe for transitioning to an external provider network, during which the LMHA shall procure an increasing proportion of the service capacity from external provider in successive procurement cycles; and</w:t>
      </w:r>
    </w:p>
    <w:p w:rsidR="006C6405" w:rsidRPr="006C6405" w:rsidRDefault="006C6405" w:rsidP="006C6405">
      <w:pPr>
        <w:spacing w:after="0" w:line="240" w:lineRule="auto"/>
        <w:ind w:left="720"/>
        <w:rPr>
          <w:rFonts w:ascii="Times New Roman" w:eastAsia="Times New Roman" w:hAnsi="Times New Roman" w:cs="Times New Roman"/>
          <w:sz w:val="24"/>
          <w:szCs w:val="20"/>
        </w:rPr>
      </w:pPr>
    </w:p>
    <w:p w:rsidR="006C6405" w:rsidRPr="006C6405" w:rsidRDefault="006C6405" w:rsidP="006C6405">
      <w:pPr>
        <w:spacing w:after="0" w:line="240" w:lineRule="auto"/>
        <w:ind w:left="720"/>
        <w:rPr>
          <w:rFonts w:ascii="Times New Roman" w:eastAsia="Times New Roman" w:hAnsi="Times New Roman" w:cs="Times New Roman"/>
          <w:sz w:val="24"/>
          <w:szCs w:val="20"/>
        </w:rPr>
      </w:pPr>
      <w:r w:rsidRPr="006C6405">
        <w:rPr>
          <w:rFonts w:ascii="Times New Roman" w:eastAsia="Times New Roman" w:hAnsi="Times New Roman" w:cs="Times New Roman"/>
          <w:sz w:val="24"/>
          <w:szCs w:val="20"/>
        </w:rPr>
        <w:t xml:space="preserve">(D) give up its role as a service provider at the end of the transition period if the network has multiple external providers and the LMHA determines that external providers are willing and able to provide sufficient added service volume within a reasonable period of time to compensate for service volume lost should any one of the external provider contracts be terminated. </w:t>
      </w:r>
    </w:p>
    <w:p w:rsidR="000D71D5" w:rsidRDefault="000D71D5"/>
    <w:sectPr w:rsidR="000D71D5" w:rsidSect="004E0E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FEC"/>
    <w:multiLevelType w:val="hybridMultilevel"/>
    <w:tmpl w:val="4DDC837C"/>
    <w:lvl w:ilvl="0" w:tplc="5EE280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B7A43"/>
    <w:multiLevelType w:val="hybridMultilevel"/>
    <w:tmpl w:val="5E0669B2"/>
    <w:lvl w:ilvl="0" w:tplc="00110409">
      <w:start w:val="1"/>
      <w:numFmt w:val="bullet"/>
      <w:lvlText w:val=""/>
      <w:lvlJc w:val="left"/>
      <w:pPr>
        <w:tabs>
          <w:tab w:val="num" w:pos="720"/>
        </w:tabs>
        <w:ind w:left="720" w:hanging="360"/>
      </w:pPr>
      <w:rPr>
        <w:rFonts w:ascii="Wingdings" w:hAnsi="Wingdings" w:hint="default"/>
      </w:rPr>
    </w:lvl>
    <w:lvl w:ilvl="1" w:tplc="00010409" w:tentative="1">
      <w:start w:val="1"/>
      <w:numFmt w:val="bullet"/>
      <w:lvlText w:val="o"/>
      <w:lvlJc w:val="left"/>
      <w:pPr>
        <w:tabs>
          <w:tab w:val="num" w:pos="1800"/>
        </w:tabs>
        <w:ind w:left="1800" w:hanging="360"/>
      </w:pPr>
      <w:rPr>
        <w:rFonts w:ascii="Courier New" w:hAnsi="Courier New" w:cs="Courier New" w:hint="default"/>
      </w:rPr>
    </w:lvl>
    <w:lvl w:ilvl="2" w:tplc="7A962E4E"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5">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C55F8A"/>
    <w:multiLevelType w:val="hybridMultilevel"/>
    <w:tmpl w:val="0C6833F4"/>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05"/>
    <w:rsid w:val="0001668A"/>
    <w:rsid w:val="000D71D5"/>
    <w:rsid w:val="00154D80"/>
    <w:rsid w:val="004E0EB0"/>
    <w:rsid w:val="005F718B"/>
    <w:rsid w:val="00645D96"/>
    <w:rsid w:val="006C6405"/>
    <w:rsid w:val="0083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formance.contracts@dshs.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Karen Pate</cp:lastModifiedBy>
  <cp:revision>4</cp:revision>
  <dcterms:created xsi:type="dcterms:W3CDTF">2016-01-29T07:12:00Z</dcterms:created>
  <dcterms:modified xsi:type="dcterms:W3CDTF">2016-03-02T03:08:00Z</dcterms:modified>
</cp:coreProperties>
</file>